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5"/>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rPr>
        <w:t xml:space="preserve">JSZC-321203-JTTZ-C2025-0044</w:t>
      </w:r>
      <w:r>
        <w:rPr>
          <w:rFonts w:hint="eastAsia" w:ascii="宋体" w:hAnsi="宋体" w:eastAsia="宋体" w:cs="宋体"/>
          <w:b/>
          <w:bCs/>
          <w:color w:val="auto"/>
          <w:sz w:val="32"/>
          <w:szCs w:val="32"/>
          <w:highlight w:val="none"/>
        </w:rPr>
      </w:r>
      <w:r/>
    </w:p>
    <w:p>
      <w:pPr>
        <w:ind w:firstLine="643"/>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项目名称：园区地块考古调查勘探工作技术服务项目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rPr>
        <w:t xml:space="preserve">泰州医药高新区（高港区）滨江工业园管理办公室</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采购代理机构：江苏建泰工程项目管理有限公司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bookmarkStart w:id="3" w:name="_Toc16938516"/>
      <w:r/>
      <w:bookmarkEnd w:id="3"/>
      <w:r/>
      <w:bookmarkStart w:id="4" w:name="_Toc523127445"/>
      <w:r/>
      <w:bookmarkEnd w:id="4"/>
      <w:r/>
      <w:bookmarkStart w:id="5" w:name="_Toc479757206"/>
      <w:r/>
      <w:bookmarkEnd w:id="5"/>
      <w:r/>
      <w:bookmarkStart w:id="6" w:name="_Toc513029200"/>
      <w:r/>
      <w:bookmarkEnd w:id="6"/>
      <w:r/>
      <w:bookmarkStart w:id="7" w:name="_Toc120614210"/>
      <w:r/>
      <w:bookmarkEnd w:id="7"/>
      <w:r/>
      <w:bookmarkStart w:id="8" w:name="_Toc20823272"/>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6"/>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w:instrText>
      </w:r>
      <w:r>
        <w:rPr>
          <w:rFonts w:hint="eastAsia" w:ascii="宋体" w:hAnsi="宋体" w:eastAsia="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6"/>
        <w:spacing w:line="600" w:lineRule="exact"/>
        <w:tabs>
          <w:tab w:val="right" w:pos="8691" w:leader="dot"/>
        </w:tabs>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pStyle w:val="936"/>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p>
    <w:p>
      <w:pPr>
        <w:pStyle w:val="936"/>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2</w:t>
      </w:r>
      <w:r/>
    </w:p>
    <w:p>
      <w:pPr>
        <w:pStyle w:val="936"/>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bCs/>
          <w:color w:val="auto"/>
          <w:sz w:val="28"/>
          <w:szCs w:val="28"/>
          <w:highlight w:val="none"/>
        </w:rPr>
        <w:t xml:space="preserve">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3</w:t>
      </w:r>
      <w:r/>
    </w:p>
    <w:p>
      <w:pPr>
        <w:pStyle w:val="936"/>
        <w:spacing w:line="600" w:lineRule="exact"/>
        <w:tabs>
          <w:tab w:val="right" w:pos="8691" w:leader="dot"/>
        </w:tabs>
        <w:rPr>
          <w:rFonts w:hint="eastAsia" w:ascii="宋体" w:hAnsi="宋体" w:eastAsia="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en-US" w:eastAsia="zh-CN"/>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jc w:val="both"/>
        <w:pageBreakBefore w:val="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jc w:val="both"/>
        <w:pageBreakBefore w:val="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园区地块考古调查勘探工作技术服务项目 </w:t>
      </w:r>
      <w:r>
        <w:rPr>
          <w:rFonts w:hint="eastAsia" w:ascii="宋体" w:hAnsi="宋体" w:eastAsia="宋体" w:cs="宋体"/>
          <w:color w:val="auto"/>
          <w:sz w:val="24"/>
          <w:szCs w:val="24"/>
          <w:highlight w:val="none"/>
          <w:u w:val="none"/>
        </w:rPr>
        <w:t xml:space="preserve">的</w:t>
      </w:r>
      <w:r>
        <w:rPr>
          <w:rFonts w:hint="eastAsia" w:ascii="宋体" w:hAnsi="宋体" w:eastAsia="宋体" w:cs="宋体"/>
          <w:color w:val="auto"/>
          <w:sz w:val="24"/>
          <w:szCs w:val="24"/>
          <w:highlight w:val="none"/>
        </w:rPr>
        <w:t xml:space="preserve">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北京时间）前递交响应文件。</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10" w:name="_Toc28359002"/>
      <w:r/>
      <w:bookmarkEnd w:id="10"/>
      <w:r/>
      <w:bookmarkStart w:id="11" w:name="_Toc35393790"/>
      <w:r/>
      <w:bookmarkEnd w:id="11"/>
      <w:r/>
      <w:bookmarkStart w:id="12" w:name="_Toc28359079"/>
      <w:r/>
      <w:bookmarkEnd w:id="12"/>
      <w:r/>
      <w:bookmarkStart w:id="13" w:name="_Toc35393621"/>
      <w:r/>
      <w:bookmarkEnd w:id="13"/>
      <w:r/>
      <w:bookmarkStart w:id="14" w:name="_Toc38985263"/>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1.项目编号：JSZC-321203-JTTZ-C2025-0044</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2.项目名称：园区地块考古调查勘探工作技术服务项目</w:t>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08.42</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，各供应商</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报价不得高于最高限价，否则作无效响应文件处理。</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对泰州市高港区化学新材料产业园区内两个拟开发地块进行考古调查、文物勘探。具体位置：地块一位于内泰镇路西侧、创汇路南侧，面积约120000㎡；地块二位于园内滨江金属物流交易市场南侧、南官河西侧，面积约19000㎡。</w:t>
      </w:r>
      <w:r>
        <w:rPr>
          <w:rFonts w:hint="eastAsia" w:ascii="宋体" w:hAnsi="宋体" w:eastAsia="宋体" w:cs="宋体"/>
          <w:color w:val="auto"/>
          <w:sz w:val="24"/>
          <w:szCs w:val="24"/>
          <w:highlight w:val="none"/>
          <w:u w:val="none"/>
          <w:lang w:val="en-US" w:eastAsia="zh-CN"/>
        </w:rPr>
        <w:t xml:space="preserve">具体要求详见磋商文件。</w:t>
      </w:r>
      <w:r/>
    </w:p>
    <w:p>
      <w:pPr>
        <w:ind w:firstLine="480"/>
        <w:jc w:val="both"/>
        <w:pageBreakBefore w:val="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6.合同履</w:t>
      </w:r>
      <w:r>
        <w:rPr>
          <w:rFonts w:hint="eastAsia" w:ascii="宋体" w:hAnsi="宋体" w:eastAsia="宋体" w:cs="宋体"/>
          <w:color w:val="auto"/>
          <w:sz w:val="24"/>
          <w:szCs w:val="24"/>
          <w:highlight w:val="none"/>
          <w:u w:val="none"/>
          <w:lang w:val="en-US" w:eastAsia="zh-CN"/>
        </w:rPr>
        <w:t xml:space="preserve">行期限：</w:t>
      </w:r>
      <w:r>
        <w:rPr>
          <w:rFonts w:hint="eastAsia" w:ascii="宋体" w:hAnsi="宋体" w:cs="宋体"/>
          <w:color w:val="auto"/>
          <w:sz w:val="24"/>
          <w:szCs w:val="24"/>
          <w:highlight w:val="none"/>
          <w:u w:val="none"/>
          <w:lang w:val="en-US" w:eastAsia="zh-CN"/>
        </w:rPr>
        <w:t xml:space="preserve">自签订合同之日起2个月内</w:t>
      </w:r>
      <w:r>
        <w:rPr>
          <w:rFonts w:hint="eastAsia" w:ascii="宋体" w:hAnsi="宋体" w:eastAsia="宋体" w:cs="宋体"/>
          <w:color w:val="auto"/>
          <w:sz w:val="24"/>
          <w:szCs w:val="24"/>
          <w:highlight w:val="none"/>
          <w:lang w:val="en-US" w:eastAsia="zh-CN"/>
        </w:rPr>
        <w:t xml:space="preserve">完成全部工作。</w:t>
      </w:r>
      <w:r/>
    </w:p>
    <w:p>
      <w:pPr>
        <w:ind w:firstLine="480"/>
        <w:jc w:val="both"/>
        <w:pageBreakBefore w:val="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7.本项目不接受联合体。</w:t>
      </w:r>
      <w:bookmarkStart w:id="16" w:name="_Toc35393791"/>
      <w:r/>
      <w:bookmarkEnd w:id="16"/>
      <w:r/>
      <w:bookmarkStart w:id="17" w:name="_Toc35393622"/>
      <w:r/>
      <w:bookmarkEnd w:id="17"/>
      <w:r/>
      <w:bookmarkStart w:id="18" w:name="_Toc28359080"/>
      <w:r/>
      <w:bookmarkEnd w:id="18"/>
      <w:r/>
      <w:bookmarkStart w:id="19" w:name="_Toc28359003"/>
      <w:r/>
      <w:bookmarkEnd w:id="19"/>
      <w:r/>
      <w:bookmarkStart w:id="20" w:name="_Toc38985264"/>
      <w:r/>
      <w:r/>
    </w:p>
    <w:p>
      <w:pPr>
        <w:ind w:firstLine="482"/>
        <w:jc w:val="both"/>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792"/>
      <w:r/>
      <w:bookmarkEnd w:id="21"/>
      <w:r/>
      <w:bookmarkStart w:id="22" w:name="_Toc35393623"/>
      <w:r/>
      <w:bookmarkEnd w:id="22"/>
      <w:r/>
      <w:bookmarkStart w:id="23" w:name="_Toc28359004"/>
      <w:r/>
      <w:bookmarkEnd w:id="23"/>
      <w:r/>
      <w:bookmarkStart w:id="24" w:name="_Toc28359081"/>
      <w:r/>
      <w:bookmarkEnd w:id="24"/>
      <w:r/>
      <w:r/>
    </w:p>
    <w:p>
      <w:pPr>
        <w:ind w:firstLine="480"/>
        <w:jc w:val="both"/>
        <w:pageBreakBefore w:val="0"/>
        <w:spacing w:line="520" w:lineRule="exact"/>
        <w:tabs>
          <w:tab w:val="left" w:pos="4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其他未列明行业，不专门面向中小微企业、监狱企业、残疾人福利性单位，对符合条件的小型和微型企业、残疾人福利单位、监狱企业给予10%的扣除价格，用扣除后的价格参与评审。</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b/>
          <w:bCs/>
          <w:color w:val="auto"/>
          <w:sz w:val="24"/>
          <w:szCs w:val="24"/>
          <w:highlight w:val="none"/>
        </w:rPr>
        <w:t xml:space="preserve">本项目的特定资格要求：供应商须具有国家文物局颁发的考古发掘资质</w:t>
      </w:r>
      <w:r>
        <w:rPr>
          <w:rFonts w:hint="eastAsia" w:ascii="宋体" w:hAnsi="宋体" w:eastAsia="宋体" w:cs="宋体"/>
          <w:b/>
          <w:bCs/>
          <w:color w:val="auto"/>
          <w:sz w:val="24"/>
          <w:szCs w:val="24"/>
          <w:highlight w:val="none"/>
          <w:lang w:val="en-US"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jc w:val="both"/>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未被“信用中国”网站（www.creditchina.gov.cn）列入失信被执行人、重大税收违法失信主体、政府采购严重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w:t>
      </w:r>
      <w:r>
        <w:rPr>
          <w:rFonts w:hint="eastAsia" w:ascii="宋体" w:hAnsi="宋体" w:eastAsia="宋体" w:cs="宋体"/>
          <w:color w:val="auto"/>
          <w:sz w:val="24"/>
          <w:szCs w:val="24"/>
          <w:highlight w:val="none"/>
          <w:lang w:eastAsia="zh-CN"/>
        </w:rPr>
        <w:t xml:space="preserve">。</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jc w:val="both"/>
        <w:pageBreakBefore w:val="0"/>
        <w:spacing w:line="520" w:lineRule="exact"/>
        <w:rPr>
          <w:rFonts w:hint="eastAsia" w:ascii="宋体" w:hAnsi="宋体" w:eastAsia="宋体" w:cs="宋体"/>
          <w:color w:val="auto"/>
          <w:sz w:val="24"/>
          <w:szCs w:val="24"/>
          <w:highlight w:val="none"/>
        </w:rPr>
      </w:pPr>
      <w:r/>
      <w:bookmarkStart w:id="25" w:name="_Toc35393624"/>
      <w:r/>
      <w:bookmarkEnd w:id="25"/>
      <w:r/>
      <w:bookmarkStart w:id="26" w:name="_Toc35393793"/>
      <w:r/>
      <w:bookmarkEnd w:id="26"/>
      <w:r/>
      <w:bookmarkStart w:id="27" w:name="_Toc28359082"/>
      <w:r/>
      <w:bookmarkEnd w:id="27"/>
      <w:r/>
      <w:bookmarkStart w:id="28" w:name="_Toc28359005"/>
      <w:r/>
      <w:bookmarkEnd w:id="28"/>
      <w:r/>
      <w:bookmarkStart w:id="29" w:name="_Toc38985266"/>
      <w:r>
        <w:rPr>
          <w:rFonts w:hint="eastAsia" w:ascii="宋体" w:hAnsi="宋体" w:eastAsia="宋体" w:cs="宋体"/>
          <w:color w:val="auto"/>
          <w:sz w:val="24"/>
          <w:szCs w:val="24"/>
          <w:highlight w:val="none"/>
        </w:rPr>
        <w:t xml:space="preserve">1.时间：</w:t>
      </w:r>
      <w:bookmarkEnd w:id="29"/>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2025年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日0:00-</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日0:00</w:t>
      </w:r>
      <w:r>
        <w:rPr>
          <w:rFonts w:hint="eastAsia" w:ascii="宋体" w:hAnsi="宋体" w:eastAsia="宋体" w:cs="宋体"/>
          <w:color w:val="auto"/>
          <w:sz w:val="24"/>
          <w:szCs w:val="24"/>
          <w:highlight w:val="none"/>
        </w:rPr>
        <w:t xml:space="preserve">。</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2.地点：供应商完成注册并办理CA证书后在“苏采云”系统下载本项目的采购文件</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3.方式：登录“苏采云”系统自行下载</w:t>
      </w:r>
      <w:r/>
    </w:p>
    <w:p>
      <w:pPr>
        <w:ind w:firstLine="480"/>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2.地点：“苏采云”系统“开标大厅</w:t>
      </w:r>
      <w:bookmarkStart w:id="199" w:name="_GoBack"/>
      <w:r/>
      <w:bookmarkEnd w:id="199"/>
      <w:r>
        <w:rPr>
          <w:rFonts w:hint="eastAsia" w:ascii="宋体" w:hAnsi="宋体" w:eastAsia="宋体" w:cs="宋体"/>
          <w:color w:val="auto"/>
          <w:sz w:val="24"/>
          <w:szCs w:val="24"/>
          <w:highlight w:val="none"/>
        </w:rPr>
        <w:t xml:space="preserve">”</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30" w:name="_Toc35393625"/>
      <w:r/>
      <w:bookmarkEnd w:id="30"/>
      <w:r/>
      <w:bookmarkStart w:id="31" w:name="_Toc28359084"/>
      <w:r/>
      <w:bookmarkEnd w:id="31"/>
      <w:r/>
      <w:bookmarkStart w:id="32" w:name="_Toc28359007"/>
      <w:r/>
      <w:bookmarkEnd w:id="32"/>
      <w:r/>
      <w:bookmarkStart w:id="33" w:name="_Toc35393794"/>
      <w:r/>
      <w:bookmarkEnd w:id="33"/>
      <w:r/>
      <w:bookmarkStart w:id="34" w:name="_Toc38985267"/>
      <w:r>
        <w:rPr>
          <w:rFonts w:hint="eastAsia" w:ascii="宋体" w:hAnsi="宋体" w:eastAsia="宋体" w:cs="宋体"/>
          <w:b/>
          <w:bCs/>
          <w:color w:val="auto"/>
          <w:sz w:val="24"/>
          <w:szCs w:val="24"/>
          <w:highlight w:val="none"/>
        </w:rPr>
        <w:t xml:space="preserve">五、公告期限</w:t>
      </w:r>
      <w:bookmarkEnd w:id="34"/>
      <w:r/>
      <w:r/>
    </w:p>
    <w:p>
      <w:pPr>
        <w:ind w:firstLine="480"/>
        <w:jc w:val="both"/>
        <w:pageBreakBefore w:val="0"/>
        <w:spacing w:line="520" w:lineRule="exact"/>
        <w:rPr>
          <w:rFonts w:hint="eastAsia" w:ascii="宋体" w:hAnsi="宋体" w:eastAsia="宋体" w:cs="宋体"/>
          <w:color w:val="auto"/>
          <w:sz w:val="24"/>
          <w:szCs w:val="24"/>
          <w:highlight w:val="none"/>
        </w:rPr>
      </w:pPr>
      <w:r/>
      <w:bookmarkStart w:id="35" w:name="_Toc35393795"/>
      <w:r/>
      <w:bookmarkEnd w:id="35"/>
      <w:r/>
      <w:bookmarkStart w:id="36" w:name="_Toc35393626"/>
      <w:r/>
      <w:bookmarkEnd w:id="36"/>
      <w:r/>
      <w:bookmarkStart w:id="37" w:name="_Toc38985268"/>
      <w:r>
        <w:rPr>
          <w:rFonts w:hint="eastAsia" w:ascii="宋体" w:hAnsi="宋体" w:eastAsia="宋体" w:cs="宋体"/>
          <w:color w:val="auto"/>
          <w:sz w:val="24"/>
          <w:szCs w:val="24"/>
          <w:highlight w:val="none"/>
        </w:rPr>
        <w:t xml:space="preserve">自本公告发布之日起3个工作日。</w:t>
      </w:r>
      <w:bookmarkEnd w:id="37"/>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1.根据省财政厅《关于更换全</w:t>
      </w:r>
      <w:r>
        <w:rPr>
          <w:rFonts w:hint="eastAsia" w:ascii="宋体" w:hAnsi="宋体" w:eastAsia="宋体" w:cs="宋体"/>
          <w:color w:val="auto"/>
          <w:sz w:val="24"/>
          <w:szCs w:val="24"/>
          <w:highlight w:val="none"/>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的事项若存在变动或修改，敬请及时关注江苏建泰工程项目管理有限公司在“江苏政府采购网”发布的更正公告。</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保证金。 </w:t>
      </w:r>
      <w:r/>
    </w:p>
    <w:p>
      <w:pPr>
        <w:ind w:firstLine="482"/>
        <w:jc w:val="both"/>
        <w:keepLines/>
        <w:keepNext/>
        <w:pageBreakBefore w:val="0"/>
        <w:spacing w:line="520" w:lineRule="exact"/>
        <w:rPr>
          <w:rFonts w:hint="eastAsia" w:ascii="宋体" w:hAnsi="宋体" w:eastAsia="宋体" w:cs="宋体"/>
          <w:color w:val="auto"/>
          <w:sz w:val="24"/>
          <w:szCs w:val="24"/>
          <w:highlight w:val="none"/>
        </w:rPr>
      </w:pPr>
      <w:r/>
      <w:bookmarkStart w:id="38" w:name="_Toc28359085"/>
      <w:r/>
      <w:bookmarkEnd w:id="38"/>
      <w:r/>
      <w:bookmarkStart w:id="39" w:name="_Toc35393796"/>
      <w:r/>
      <w:bookmarkEnd w:id="39"/>
      <w:r/>
      <w:bookmarkStart w:id="40" w:name="_Toc28359008"/>
      <w:r/>
      <w:bookmarkEnd w:id="40"/>
      <w:r/>
      <w:bookmarkStart w:id="41" w:name="_Toc35393627"/>
      <w:r/>
      <w:bookmarkEnd w:id="41"/>
      <w:r/>
      <w:bookmarkStart w:id="42" w:name="_Toc38985269"/>
      <w:r>
        <w:rPr>
          <w:rFonts w:hint="eastAsia" w:ascii="宋体" w:hAnsi="宋体" w:eastAsia="宋体" w:cs="宋体"/>
          <w:b/>
          <w:bCs/>
          <w:color w:val="auto"/>
          <w:sz w:val="24"/>
          <w:szCs w:val="24"/>
          <w:highlight w:val="none"/>
        </w:rPr>
        <w:t xml:space="preserve">七、本次磋商联系方式</w:t>
      </w:r>
      <w:bookmarkEnd w:id="42"/>
      <w:r/>
      <w:r/>
    </w:p>
    <w:p>
      <w:pPr>
        <w:ind w:firstLine="480"/>
        <w:jc w:val="both"/>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泰州医药高新区（高港区）滨江工业园管理办公室</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江苏省泰州滨江工业园区疏港路2号‌‌</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陈</w:t>
      </w:r>
      <w:r>
        <w:rPr>
          <w:rFonts w:hint="eastAsia" w:ascii="宋体" w:hAnsi="宋体" w:eastAsia="宋体" w:cs="宋体"/>
          <w:color w:val="auto"/>
          <w:sz w:val="24"/>
          <w:szCs w:val="24"/>
          <w:highlight w:val="none"/>
          <w:u w:val="single"/>
          <w:lang w:val="en-US" w:eastAsia="zh-CN"/>
        </w:rPr>
        <w:t xml:space="preserve">先生</w:t>
      </w:r>
      <w:r>
        <w:rPr>
          <w:rFonts w:hint="eastAsia" w:ascii="宋体" w:hAnsi="宋体" w:eastAsia="宋体" w:cs="宋体"/>
          <w:color w:val="auto"/>
          <w:sz w:val="24"/>
          <w:szCs w:val="24"/>
          <w:highlight w:val="none"/>
          <w:u w:val="single"/>
        </w:rPr>
        <w:t xml:space="preserve"> </w:t>
      </w:r>
      <w:r/>
    </w:p>
    <w:p>
      <w:pPr>
        <w:ind w:firstLine="480"/>
        <w:jc w:val="both"/>
        <w:pageBreakBefore w:val="0"/>
        <w:spacing w:line="52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 15850886572 </w:t>
      </w:r>
      <w:r>
        <w:rPr>
          <w:rFonts w:hint="eastAsia" w:ascii="宋体" w:hAnsi="宋体" w:eastAsia="宋体" w:cs="宋体"/>
          <w:color w:val="auto"/>
          <w:sz w:val="24"/>
          <w:szCs w:val="24"/>
          <w:highlight w:val="none"/>
          <w:u w:val="single"/>
          <w:lang w:val="en-US" w:eastAsia="zh-CN"/>
        </w:rPr>
        <w:t xml:space="preserve"> </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江苏建泰工程项目管理有限公司</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泰州市海陵区凤凰东路68号建工大厦18楼1808室</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周女士</w:t>
      </w:r>
      <w:r/>
    </w:p>
    <w:p>
      <w:pPr>
        <w:ind w:firstLine="480"/>
        <w:jc w:val="both"/>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3" w:name="_Toc28359010"/>
      <w:r/>
      <w:bookmarkEnd w:id="43"/>
      <w:r/>
      <w:bookmarkStart w:id="44" w:name="_Toc28359087"/>
      <w:r>
        <w:rPr>
          <w:rFonts w:hint="eastAsia" w:ascii="宋体" w:hAnsi="宋体" w:eastAsia="宋体" w:cs="宋体"/>
          <w:color w:val="auto"/>
          <w:sz w:val="24"/>
          <w:szCs w:val="24"/>
          <w:highlight w:val="none"/>
          <w:u w:val="single"/>
        </w:rPr>
        <w:t xml:space="preserve">0523-86898015 </w:t>
      </w:r>
      <w:bookmarkEnd w:id="44"/>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both"/>
        <w:pageBreakBefore w:val="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周女士</w:t>
      </w:r>
      <w:r/>
    </w:p>
    <w:p>
      <w:pPr>
        <w:ind w:firstLine="480"/>
        <w:pageBreakBefore w:val="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0523-86898015</w:t>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35"/>
        <w:ind w:firstLine="0"/>
        <w:jc w:val="center"/>
        <w:rPr>
          <w:rFonts w:hint="eastAsia" w:ascii="宋体" w:hAnsi="宋体" w:eastAsia="宋体" w:cs="宋体"/>
          <w:color w:val="auto"/>
          <w:sz w:val="44"/>
          <w:szCs w:val="44"/>
          <w:highlight w:val="none"/>
        </w:rPr>
        <w:outlineLvl w:val="0"/>
      </w:pPr>
      <w:r/>
      <w:bookmarkStart w:id="45" w:name="_Toc120614211"/>
      <w:r/>
      <w:bookmarkStart w:id="46" w:name="_Toc24442"/>
      <w:r>
        <w:rPr>
          <w:rFonts w:hint="eastAsia" w:ascii="宋体" w:hAnsi="宋体" w:eastAsia="宋体" w:cs="宋体"/>
          <w:color w:val="auto"/>
          <w:sz w:val="44"/>
          <w:szCs w:val="44"/>
          <w:highlight w:val="none"/>
        </w:rPr>
        <w:t xml:space="preserve">第二章 </w:t>
      </w:r>
      <w:bookmarkEnd w:id="45"/>
      <w:r>
        <w:rPr>
          <w:rFonts w:hint="eastAsia" w:ascii="宋体" w:hAnsi="宋体" w:eastAsia="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eastAsia="宋体" w:cs="宋体"/>
          <w:color w:val="auto"/>
          <w:sz w:val="24"/>
          <w:szCs w:val="24"/>
          <w:highlight w:val="none"/>
        </w:rPr>
      </w:pPr>
      <w:r/>
      <w:bookmarkStart w:id="47" w:name="_Toc16938519"/>
      <w:r/>
      <w:bookmarkEnd w:id="47"/>
      <w:r/>
      <w:bookmarkStart w:id="48" w:name="_Toc513029203"/>
      <w:r/>
      <w:bookmarkEnd w:id="48"/>
      <w:r/>
      <w:bookmarkStart w:id="49" w:name="_Toc20823275"/>
      <w:r/>
      <w:bookmarkEnd w:id="49"/>
      <w:r/>
      <w:bookmarkStart w:id="50" w:name="_Toc120614214"/>
      <w:r>
        <w:rPr>
          <w:rFonts w:hint="eastAsia" w:ascii="宋体" w:hAnsi="宋体" w:eastAsia="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eastAsia="宋体" w:cs="宋体"/>
          <w:color w:val="auto"/>
          <w:sz w:val="24"/>
          <w:szCs w:val="24"/>
          <w:highlight w:val="none"/>
        </w:rPr>
      </w:pPr>
      <w:r/>
      <w:bookmarkStart w:id="51" w:name="_Toc513029204"/>
      <w:r/>
      <w:bookmarkEnd w:id="51"/>
      <w:r/>
      <w:bookmarkStart w:id="52" w:name="_Toc16938520"/>
      <w:r/>
      <w:bookmarkEnd w:id="52"/>
      <w:r/>
      <w:bookmarkStart w:id="53" w:name="_Hlt16619475"/>
      <w:r/>
      <w:bookmarkEnd w:id="53"/>
      <w:r/>
      <w:bookmarkStart w:id="54" w:name="_Toc458694821"/>
      <w:r/>
      <w:bookmarkEnd w:id="54"/>
      <w:r/>
      <w:bookmarkStart w:id="55" w:name="_Toc20823276"/>
      <w:r>
        <w:rPr>
          <w:rFonts w:hint="eastAsia" w:ascii="宋体" w:hAnsi="宋体" w:eastAsia="宋体" w:cs="宋体"/>
          <w:color w:val="auto"/>
          <w:sz w:val="24"/>
          <w:szCs w:val="24"/>
          <w:highlight w:val="none"/>
        </w:rPr>
        <w:t xml:space="preserve">1</w:t>
      </w:r>
      <w:bookmarkEnd w:id="55"/>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6" w:name="_Toc513029205"/>
      <w:r/>
      <w:bookmarkEnd w:id="56"/>
      <w:r/>
      <w:bookmarkStart w:id="57" w:name="_Toc16938521"/>
      <w:r/>
      <w:bookmarkEnd w:id="57"/>
      <w:r/>
      <w:bookmarkStart w:id="58" w:name="_Toc20823277"/>
      <w:r>
        <w:rPr>
          <w:rFonts w:hint="eastAsia" w:ascii="宋体" w:hAnsi="宋体" w:eastAsia="宋体" w:cs="宋体"/>
          <w:color w:val="auto"/>
          <w:sz w:val="24"/>
          <w:szCs w:val="24"/>
          <w:highlight w:val="none"/>
        </w:rPr>
        <w:t xml:space="preserve">2、合格的</w:t>
      </w:r>
      <w:bookmarkEnd w:id="58"/>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9" w:name="_Toc16938522"/>
      <w:r/>
      <w:bookmarkEnd w:id="59"/>
      <w:r/>
      <w:bookmarkStart w:id="60" w:name="_Toc513029206"/>
      <w:r/>
      <w:bookmarkEnd w:id="60"/>
      <w:r/>
      <w:bookmarkStart w:id="61" w:name="_Toc20823278"/>
      <w:r>
        <w:rPr>
          <w:rFonts w:hint="eastAsia" w:ascii="宋体" w:hAnsi="宋体" w:eastAsia="宋体" w:cs="宋体"/>
          <w:color w:val="auto"/>
          <w:sz w:val="24"/>
          <w:szCs w:val="24"/>
          <w:highlight w:val="none"/>
        </w:rPr>
        <w:t xml:space="preserve">3、适用法律</w:t>
      </w:r>
      <w:bookmarkEnd w:id="6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2" w:name="_Toc462564067"/>
      <w:r/>
      <w:bookmarkEnd w:id="62"/>
      <w:r/>
      <w:bookmarkStart w:id="63" w:name="_Toc513029207"/>
      <w:r/>
      <w:bookmarkEnd w:id="63"/>
      <w:r/>
      <w:bookmarkStart w:id="64" w:name="_Toc16938523"/>
      <w:r/>
      <w:bookmarkEnd w:id="64"/>
      <w:r/>
      <w:bookmarkStart w:id="65" w:name="_Toc20823279"/>
      <w:r>
        <w:rPr>
          <w:rFonts w:hint="eastAsia" w:ascii="宋体" w:hAnsi="宋体" w:eastAsia="宋体" w:cs="宋体"/>
          <w:color w:val="auto"/>
          <w:sz w:val="24"/>
          <w:szCs w:val="24"/>
          <w:highlight w:val="none"/>
        </w:rPr>
        <w:t xml:space="preserve">4、磋商费用</w:t>
      </w:r>
      <w:bookmarkEnd w:id="6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b/>
          <w:bCs/>
          <w:color w:val="auto"/>
          <w:sz w:val="24"/>
          <w:szCs w:val="24"/>
          <w:highlight w:val="none"/>
        </w:rPr>
        <w:t xml:space="preserve">本项目招标代理服务费</w:t>
      </w:r>
      <w:r>
        <w:rPr>
          <w:rFonts w:hint="eastAsia" w:ascii="宋体" w:hAnsi="宋体" w:cs="宋体"/>
          <w:b/>
          <w:bCs/>
          <w:color w:val="auto"/>
          <w:sz w:val="24"/>
          <w:szCs w:val="24"/>
          <w:highlight w:val="none"/>
          <w:lang w:val="en-US" w:eastAsia="zh-CN"/>
        </w:rPr>
        <w:t xml:space="preserve">共计玖仟陆佰元整（9600元）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上述费用由成交供应商支付，请各供应商在报价时考虑，确定成交供应商后领取成交通知书前一次性缴纳给招标代理服务机构。</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6" w:name="_Toc20823281"/>
      <w:r/>
      <w:bookmarkEnd w:id="66"/>
      <w:r/>
      <w:bookmarkStart w:id="67" w:name="_Toc513029209"/>
      <w:r/>
      <w:bookmarkEnd w:id="67"/>
      <w:r/>
      <w:bookmarkStart w:id="68" w:name="_Toc16938525"/>
      <w:r/>
      <w:bookmarkEnd w:id="68"/>
      <w:r/>
      <w:bookmarkStart w:id="69" w:name="_Toc120614215"/>
      <w:r>
        <w:rPr>
          <w:rFonts w:hint="eastAsia" w:ascii="宋体" w:hAnsi="宋体" w:eastAsia="宋体" w:cs="宋体"/>
          <w:b/>
          <w:bCs/>
          <w:color w:val="auto"/>
          <w:sz w:val="24"/>
          <w:szCs w:val="24"/>
          <w:highlight w:val="none"/>
        </w:rPr>
        <w:t xml:space="preserve">二、</w:t>
      </w:r>
      <w:bookmarkEnd w:id="69"/>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0" w:name="_Toc16938526"/>
      <w:r/>
      <w:bookmarkEnd w:id="70"/>
      <w:r/>
      <w:bookmarkStart w:id="71" w:name="_Toc513029210"/>
      <w:r/>
      <w:bookmarkEnd w:id="71"/>
      <w:r/>
      <w:bookmarkStart w:id="72" w:name="_Toc20823282"/>
      <w:r>
        <w:rPr>
          <w:rFonts w:hint="eastAsia" w:ascii="宋体" w:hAnsi="宋体" w:eastAsia="宋体" w:cs="宋体"/>
          <w:color w:val="auto"/>
          <w:sz w:val="24"/>
          <w:szCs w:val="24"/>
          <w:highlight w:val="none"/>
        </w:rPr>
        <w:t xml:space="preserve">6、磋商文件构成</w:t>
      </w:r>
      <w:bookmarkEnd w:id="7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3" w:name="_Toc462564070"/>
      <w:r/>
      <w:bookmarkEnd w:id="73"/>
      <w:r/>
      <w:bookmarkStart w:id="74" w:name="_Toc16938527"/>
      <w:r/>
      <w:bookmarkEnd w:id="74"/>
      <w:r/>
      <w:bookmarkStart w:id="75" w:name="_Toc513029211"/>
      <w:r/>
      <w:bookmarkEnd w:id="75"/>
      <w:r/>
      <w:bookmarkStart w:id="76" w:name="_Toc20823283"/>
      <w:r>
        <w:rPr>
          <w:rFonts w:hint="eastAsia" w:ascii="宋体" w:hAnsi="宋体" w:eastAsia="宋体" w:cs="宋体"/>
          <w:color w:val="auto"/>
          <w:sz w:val="24"/>
          <w:szCs w:val="24"/>
          <w:highlight w:val="none"/>
        </w:rPr>
        <w:t xml:space="preserve">7、磋商文件的澄清</w:t>
      </w:r>
      <w:bookmarkEnd w:id="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7" w:name="_Toc513029212"/>
      <w:r/>
      <w:bookmarkEnd w:id="77"/>
      <w:r/>
      <w:bookmarkStart w:id="78" w:name="_Toc462564071"/>
      <w:r/>
      <w:bookmarkEnd w:id="78"/>
      <w:r/>
      <w:bookmarkStart w:id="79" w:name="_Toc16938528"/>
      <w:r/>
      <w:bookmarkEnd w:id="79"/>
      <w:r/>
      <w:bookmarkStart w:id="80" w:name="_Toc20823284"/>
      <w:r>
        <w:rPr>
          <w:rFonts w:hint="eastAsia" w:ascii="宋体" w:hAnsi="宋体" w:eastAsia="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1" w:name="_Toc513029213"/>
      <w:r/>
      <w:bookmarkEnd w:id="81"/>
      <w:r/>
      <w:bookmarkStart w:id="82" w:name="_Toc16938529"/>
      <w:r/>
      <w:bookmarkEnd w:id="82"/>
      <w:r/>
      <w:bookmarkStart w:id="83" w:name="_Toc20823285"/>
      <w:r/>
      <w:bookmarkEnd w:id="83"/>
      <w:r/>
      <w:bookmarkStart w:id="84" w:name="_Toc462564072"/>
      <w:r/>
      <w:bookmarkEnd w:id="84"/>
      <w:r/>
      <w:bookmarkStart w:id="85" w:name="_Toc120614216"/>
      <w:r>
        <w:rPr>
          <w:rFonts w:hint="eastAsia" w:ascii="宋体" w:hAnsi="宋体" w:eastAsia="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eastAsia="宋体" w:cs="宋体"/>
          <w:color w:val="auto"/>
          <w:sz w:val="24"/>
          <w:szCs w:val="24"/>
          <w:highlight w:val="none"/>
        </w:rPr>
      </w:pPr>
      <w:r/>
      <w:bookmarkStart w:id="86" w:name="_Toc513029214"/>
      <w:r/>
      <w:bookmarkEnd w:id="86"/>
      <w:r/>
      <w:bookmarkStart w:id="87" w:name="_Toc16938530"/>
      <w:r/>
      <w:bookmarkEnd w:id="87"/>
      <w:r/>
      <w:bookmarkStart w:id="88" w:name="_Toc462564073"/>
      <w:r/>
      <w:bookmarkEnd w:id="88"/>
      <w:r/>
      <w:bookmarkStart w:id="89" w:name="_Toc20823286"/>
      <w:r>
        <w:rPr>
          <w:rFonts w:hint="eastAsia" w:ascii="宋体" w:hAnsi="宋体" w:eastAsia="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90" w:name="_Toc16938531"/>
      <w:r/>
      <w:bookmarkEnd w:id="90"/>
      <w:r/>
      <w:bookmarkStart w:id="91" w:name="_Toc462564074"/>
      <w:r/>
      <w:bookmarkEnd w:id="91"/>
      <w:r/>
      <w:bookmarkStart w:id="92" w:name="_Toc513029215"/>
      <w:r/>
      <w:bookmarkEnd w:id="92"/>
      <w:r/>
      <w:bookmarkStart w:id="93"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近六个月</w:t>
      </w:r>
      <w:r>
        <w:rPr>
          <w:rFonts w:hint="eastAsia" w:ascii="宋体" w:hAnsi="宋体" w:eastAsia="宋体" w:cs="宋体"/>
          <w:color w:val="auto"/>
          <w:sz w:val="24"/>
          <w:szCs w:val="24"/>
          <w:highlight w:val="none"/>
        </w:rPr>
        <w:t xml:space="preserve">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w:t>
      </w:r>
      <w:r>
        <w:rPr>
          <w:rFonts w:hint="eastAsia" w:ascii="宋体" w:hAnsi="宋体" w:eastAsia="宋体" w:cs="宋体"/>
          <w:color w:val="auto"/>
          <w:sz w:val="24"/>
          <w:szCs w:val="24"/>
          <w:highlight w:val="none"/>
        </w:rPr>
        <w:t xml:space="preserve">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商务及</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4" w:name="_Toc49090509"/>
      <w:r/>
      <w:bookmarkEnd w:id="94"/>
      <w:r/>
      <w:bookmarkStart w:id="95" w:name="_Hlt26954838"/>
      <w:r/>
      <w:bookmarkEnd w:id="95"/>
      <w:r/>
      <w:bookmarkStart w:id="96" w:name="_Toc513029216"/>
      <w:r/>
      <w:bookmarkEnd w:id="96"/>
      <w:r/>
      <w:bookmarkStart w:id="97" w:name="_Toc49090508"/>
      <w:r/>
      <w:bookmarkEnd w:id="97"/>
      <w:r/>
      <w:bookmarkStart w:id="98" w:name="_Hlt26670360"/>
      <w:r/>
      <w:bookmarkEnd w:id="98"/>
      <w:r/>
      <w:bookmarkStart w:id="99" w:name="_Toc14577355"/>
      <w:r/>
      <w:bookmarkEnd w:id="99"/>
      <w:r/>
      <w:bookmarkStart w:id="100" w:name="_Toc14577354"/>
      <w:r/>
      <w:bookmarkEnd w:id="100"/>
      <w:r/>
      <w:bookmarkStart w:id="101" w:name="_Hlt26668975"/>
      <w:r/>
      <w:bookmarkEnd w:id="101"/>
      <w:r/>
      <w:bookmarkStart w:id="102" w:name="_Toc513029219"/>
      <w:r/>
      <w:bookmarkEnd w:id="102"/>
      <w:r/>
      <w:bookmarkStart w:id="103" w:name="_Toc14577357"/>
      <w:r/>
      <w:bookmarkEnd w:id="103"/>
      <w:r/>
      <w:bookmarkStart w:id="104"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0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5" w:name="_Hlt26670482"/>
      <w:r/>
      <w:bookmarkEnd w:id="105"/>
      <w:r/>
      <w:bookmarkStart w:id="106" w:name="_Hlt26670486"/>
      <w:r/>
      <w:bookmarkEnd w:id="106"/>
      <w:r/>
      <w:bookmarkStart w:id="107" w:name="_Hlt26954731"/>
      <w:r/>
      <w:bookmarkEnd w:id="107"/>
      <w:r/>
      <w:bookmarkStart w:id="108" w:name="_Hlt26954846"/>
      <w:r/>
      <w:bookmarkEnd w:id="108"/>
      <w:r/>
      <w:bookmarkStart w:id="109"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09"/>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59"/>
      <w:r/>
      <w:bookmarkEnd w:id="110"/>
      <w:r/>
      <w:bookmarkStart w:id="111" w:name="_Toc49090510"/>
      <w:r>
        <w:rPr>
          <w:rFonts w:hint="eastAsia" w:ascii="宋体" w:hAnsi="宋体" w:eastAsia="宋体" w:cs="宋体"/>
          <w:color w:val="auto"/>
          <w:sz w:val="24"/>
          <w:szCs w:val="24"/>
          <w:highlight w:val="none"/>
        </w:rPr>
        <w:t xml:space="preserve">14、磋商响应函</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2" w:name="_Toc14577360"/>
      <w:r/>
      <w:bookmarkEnd w:id="112"/>
      <w:r/>
      <w:bookmarkStart w:id="113" w:name="_Toc49090511"/>
      <w:r>
        <w:rPr>
          <w:rFonts w:hint="eastAsia" w:ascii="宋体" w:hAnsi="宋体" w:eastAsia="宋体" w:cs="宋体"/>
          <w:color w:val="auto"/>
          <w:sz w:val="24"/>
          <w:szCs w:val="24"/>
          <w:highlight w:val="none"/>
        </w:rPr>
        <w:t xml:space="preserve">15、磋商有效期</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513029224"/>
      <w:r/>
      <w:bookmarkEnd w:id="114"/>
      <w:r/>
      <w:bookmarkStart w:id="115" w:name="_Hlt26954739"/>
      <w:r/>
      <w:bookmarkEnd w:id="115"/>
      <w:r/>
      <w:bookmarkStart w:id="116" w:name="_Toc20823296"/>
      <w:r/>
      <w:bookmarkEnd w:id="116"/>
      <w:r/>
      <w:bookmarkStart w:id="117" w:name="_Toc16938540"/>
      <w:r/>
      <w:bookmarkEnd w:id="117"/>
      <w:r/>
      <w:bookmarkStart w:id="118" w:name="_Hlt26954852"/>
      <w:r/>
      <w:bookmarkEnd w:id="118"/>
      <w:r/>
      <w:bookmarkStart w:id="119"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9"/>
      <w:r/>
      <w:bookmarkStart w:id="120" w:name="_Toc513029225"/>
      <w:r/>
      <w:bookmarkEnd w:id="120"/>
      <w:r/>
      <w:bookmarkStart w:id="121" w:name="_Toc462564084"/>
      <w:r/>
      <w:bookmarkEnd w:id="121"/>
      <w:r/>
      <w:bookmarkStart w:id="122" w:name="_Toc16938541"/>
      <w:r/>
      <w:bookmarkEnd w:id="122"/>
      <w:r/>
      <w:bookmarkStart w:id="123"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、电子磋商</w:t>
      </w:r>
      <w:bookmarkEnd w:id="123"/>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.1供应商应当按照《操作手册》规定，在提交响应文件截止时间前制作并上传电子响应文件。</w:t>
      </w:r>
      <w:bookmarkStart w:id="124" w:name="_Toc513029226"/>
      <w:r/>
      <w:bookmarkEnd w:id="124"/>
      <w:r/>
      <w:bookmarkStart w:id="125" w:name="_Toc20823298"/>
      <w:r/>
      <w:bookmarkEnd w:id="125"/>
      <w:r/>
      <w:bookmarkStart w:id="126" w:name="_Toc16938542"/>
      <w:r/>
      <w:bookmarkEnd w:id="126"/>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采购代理机构可以按照规定，通过修改磋商文件酌情延长提交响应文件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7" w:name="_Toc513029227"/>
      <w:r/>
      <w:bookmarkEnd w:id="127"/>
      <w:r/>
      <w:bookmarkStart w:id="128" w:name="_Toc16938543"/>
      <w:r/>
      <w:bookmarkEnd w:id="128"/>
      <w:r/>
      <w:bookmarkStart w:id="129" w:name="_Toc20823299"/>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29"/>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 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0" w:name="_Toc513029228"/>
      <w:r/>
      <w:bookmarkEnd w:id="130"/>
      <w:r/>
      <w:bookmarkStart w:id="131" w:name="_Toc16938544"/>
      <w:r/>
      <w:bookmarkEnd w:id="131"/>
      <w:r/>
      <w:bookmarkStart w:id="132" w:name="_Toc20823300"/>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w:t>
      </w:r>
      <w:r>
        <w:rPr>
          <w:rFonts w:hint="eastAsia" w:ascii="宋体" w:hAnsi="宋体" w:eastAsia="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3" w:name="_Toc513029229"/>
      <w:r/>
      <w:bookmarkEnd w:id="133"/>
      <w:r/>
      <w:bookmarkStart w:id="134" w:name="_Toc16938545"/>
      <w:r/>
      <w:bookmarkEnd w:id="134"/>
      <w:r/>
      <w:bookmarkStart w:id="135" w:name="_Toc20823301"/>
      <w:r/>
      <w:bookmarkEnd w:id="135"/>
      <w:r/>
      <w:bookmarkStart w:id="136" w:name="_Toc120614218"/>
      <w:r>
        <w:rPr>
          <w:rFonts w:hint="eastAsia" w:ascii="宋体" w:hAnsi="宋体" w:eastAsia="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eastAsia="宋体" w:cs="宋体"/>
          <w:color w:val="auto"/>
          <w:sz w:val="24"/>
          <w:szCs w:val="24"/>
          <w:highlight w:val="none"/>
        </w:rPr>
      </w:pPr>
      <w:r/>
      <w:bookmarkStart w:id="137" w:name="_Toc513029230"/>
      <w:r/>
      <w:bookmarkEnd w:id="137"/>
      <w:r/>
      <w:bookmarkStart w:id="138" w:name="_Toc16938546"/>
      <w:r/>
      <w:bookmarkEnd w:id="138"/>
      <w:r/>
      <w:bookmarkStart w:id="139" w:name="_Toc20823302"/>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39"/>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40" w:name="_Toc513029231"/>
      <w:r/>
      <w:bookmarkEnd w:id="140"/>
      <w:r/>
      <w:bookmarkStart w:id="141" w:name="_Toc16938547"/>
      <w:r/>
      <w:bookmarkEnd w:id="141"/>
      <w:r/>
      <w:bookmarkStart w:id="142" w:name="_Toc20823303"/>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、磋商小组</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3" w:name="_Toc513029232"/>
      <w:r/>
      <w:bookmarkEnd w:id="143"/>
      <w:r/>
      <w:bookmarkStart w:id="144" w:name="_Toc16938548"/>
      <w:r/>
      <w:bookmarkEnd w:id="144"/>
      <w:r/>
      <w:bookmarkStart w:id="145" w:name="_Toc20823304"/>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、评审过程中的澄清</w:t>
      </w:r>
      <w:bookmarkEnd w:id="14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6" w:name="_Toc513029233"/>
      <w:r/>
      <w:bookmarkEnd w:id="146"/>
      <w:r/>
      <w:bookmarkStart w:id="147" w:name="_Toc16938549"/>
      <w:r/>
      <w:bookmarkEnd w:id="147"/>
      <w:r/>
      <w:bookmarkStart w:id="148" w:name="_Toc20823305"/>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48"/>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eastAsia="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.3.5供应商的最后报价超过了采购预算。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.3.9响应文件未按照磋商文件要求加盖CA电子公章的。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9" w:name="_Toc16938550"/>
      <w:r/>
      <w:bookmarkEnd w:id="149"/>
      <w:r/>
      <w:bookmarkStart w:id="150" w:name="_Toc513029234"/>
      <w:r/>
      <w:bookmarkEnd w:id="150"/>
      <w:r/>
      <w:bookmarkStart w:id="151" w:name="_Toc2082330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bookmarkEnd w:id="15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cs="宋体"/>
          <w:b w:val="0"/>
          <w:bCs w:val="0"/>
          <w:color w:val="auto"/>
          <w:sz w:val="24"/>
          <w:szCs w:val="24"/>
          <w:highlight w:val="none"/>
          <w:lang w:val="en-US" w:eastAsia="zh-CN"/>
        </w:rPr>
        <w:t xml:space="preserve">本项目最后报价仅报总价，最后</w:t>
      </w:r>
      <w:r>
        <w:rPr>
          <w:rFonts w:hint="eastAsia" w:ascii="宋体" w:hAnsi="宋体" w:eastAsia="宋体" w:cs="宋体"/>
          <w:b w:val="0"/>
          <w:bCs w:val="0"/>
          <w:color w:val="auto"/>
          <w:sz w:val="24"/>
          <w:szCs w:val="24"/>
          <w:highlight w:val="none"/>
          <w:lang w:eastAsia="zh-CN"/>
        </w:rPr>
        <w:t xml:space="preserve">各项单价计算方法为：（最后报价总价）/（首次报价总价）*首次各项报价的单价。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2" w:name="_Toc20823307"/>
      <w:r/>
      <w:bookmarkEnd w:id="152"/>
      <w:r/>
      <w:bookmarkStart w:id="153" w:name="_Toc513029235"/>
      <w:r/>
      <w:bookmarkEnd w:id="153"/>
      <w:r/>
      <w:bookmarkStart w:id="154" w:name="_Toc16938551"/>
      <w:r/>
      <w:bookmarkEnd w:id="154"/>
      <w:r/>
      <w:bookmarkStart w:id="155" w:name="_Toc120614219"/>
      <w:r>
        <w:rPr>
          <w:rFonts w:hint="eastAsia" w:ascii="宋体" w:hAnsi="宋体" w:eastAsia="宋体" w:cs="宋体"/>
          <w:b/>
          <w:bCs/>
          <w:color w:val="auto"/>
          <w:sz w:val="24"/>
          <w:szCs w:val="24"/>
          <w:highlight w:val="none"/>
        </w:rPr>
        <w:t xml:space="preserve">六、</w:t>
      </w:r>
      <w:bookmarkEnd w:id="155"/>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6" w:name="_Toc16938554"/>
      <w:r/>
      <w:bookmarkEnd w:id="156"/>
      <w:r/>
      <w:bookmarkStart w:id="157" w:name="_Toc513029238"/>
      <w:r/>
      <w:bookmarkEnd w:id="157"/>
      <w:r/>
      <w:bookmarkStart w:id="158" w:name="_Toc2082331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58"/>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9"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、质疑处理</w:t>
      </w:r>
      <w:bookmarkEnd w:id="1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w:t>
      </w:r>
      <w:r>
        <w:rPr>
          <w:rFonts w:hint="eastAsia" w:ascii="宋体" w:hAnsi="宋体" w:eastAsia="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rPr>
        <w:t xml:space="preserve">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hint="eastAsia" w:ascii="宋体" w:hAnsi="宋体" w:eastAsia="宋体" w:cs="宋体"/>
          <w:color w:val="auto"/>
          <w:sz w:val="24"/>
          <w:szCs w:val="24"/>
          <w:highlight w:val="none"/>
        </w:rPr>
      </w:pPr>
      <w:r/>
      <w:bookmarkStart w:id="160" w:name="_Toc16938552"/>
      <w:r/>
      <w:bookmarkEnd w:id="160"/>
      <w:r/>
      <w:bookmarkStart w:id="161" w:name="_Toc513029236"/>
      <w:r/>
      <w:bookmarkEnd w:id="161"/>
      <w:r/>
      <w:bookmarkStart w:id="162" w:name="_Toc120614220"/>
      <w:r/>
      <w:bookmarkEnd w:id="162"/>
      <w:r/>
      <w:bookmarkStart w:id="163" w:name="_Toc20823308"/>
      <w:r>
        <w:rPr>
          <w:rFonts w:hint="eastAsia" w:ascii="宋体" w:hAnsi="宋体" w:eastAsia="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eastAsia="宋体" w:cs="宋体"/>
          <w:color w:val="auto"/>
          <w:sz w:val="24"/>
          <w:szCs w:val="24"/>
          <w:highlight w:val="none"/>
        </w:rPr>
      </w:pPr>
      <w:r/>
      <w:bookmarkStart w:id="164" w:name="_Toc16938553"/>
      <w:r/>
      <w:bookmarkEnd w:id="164"/>
      <w:r/>
      <w:bookmarkStart w:id="165" w:name="_Toc513029237"/>
      <w:r/>
      <w:bookmarkEnd w:id="165"/>
      <w:r/>
      <w:bookmarkStart w:id="166"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、签订合同</w:t>
      </w:r>
      <w:bookmarkEnd w:id="16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67" w:name="_Toc16938558"/>
      <w:r/>
      <w:bookmarkEnd w:id="167"/>
      <w:r/>
      <w:bookmarkStart w:id="168" w:name="_Toc20823314"/>
      <w:r/>
      <w:bookmarkEnd w:id="168"/>
      <w:r/>
      <w:bookmarkStart w:id="169" w:name="_Toc479757207"/>
      <w:r/>
      <w:bookmarkEnd w:id="169"/>
      <w:r/>
      <w:bookmarkStart w:id="170" w:name="_Toc513029242"/>
      <w:r/>
      <w:bookmarkEnd w:id="170"/>
      <w:r/>
      <w:bookmarkStart w:id="171" w:name="_Toc1206142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、政府采购履约资金扶持政策</w:t>
      </w:r>
      <w:bookmarkEnd w:id="17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、落实《商品包装政府采购需求标准（试行）》、《快递包装政府采购需求标准（试行）》的相关政策，商品包装和快递包装应符合文件要求。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、按照《绿色数据中心政府采购需求标准(试行)》（财库[2023]7号）文件要求执行。</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keepNex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40"/>
        <w:keepNext/>
        <w:rPr>
          <w:rFonts w:hint="eastAsia" w:ascii="宋体" w:hAnsi="宋体" w:eastAsia="宋体" w:cs="宋体"/>
          <w:color w:val="auto"/>
          <w:sz w:val="24"/>
          <w:szCs w:val="24"/>
          <w:highlight w:val="none"/>
        </w:rPr>
        <w:outlineLvl w:val="0"/>
      </w:pPr>
      <w:r/>
      <w:bookmarkStart w:id="172" w:name="_Toc26517"/>
      <w:r>
        <w:rPr>
          <w:rFonts w:hint="eastAsia" w:ascii="宋体" w:hAnsi="宋体" w:eastAsia="宋体" w:cs="宋体"/>
          <w:color w:val="auto"/>
          <w:sz w:val="44"/>
          <w:szCs w:val="44"/>
          <w:highlight w:val="none"/>
        </w:rPr>
        <w:t xml:space="preserve">第三章 合同文本</w:t>
      </w:r>
      <w:bookmarkEnd w:id="172"/>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bookmarkStart w:id="173" w:name="_Toc513029243"/>
      <w:r/>
      <w:bookmarkEnd w:id="173"/>
      <w:r/>
      <w:bookmarkStart w:id="174" w:name="_Toc462564139"/>
      <w:r/>
      <w:bookmarkEnd w:id="174"/>
      <w:r/>
      <w:bookmarkStart w:id="175" w:name="_Toc16938590"/>
      <w:r/>
      <w:bookmarkEnd w:id="175"/>
      <w:r/>
      <w:bookmarkStart w:id="176" w:name="_Toc20823346"/>
      <w:r/>
      <w:bookmarkEnd w:id="176"/>
      <w:r/>
      <w:bookmarkStart w:id="177" w:name="_Toc16938559"/>
      <w:r/>
      <w:bookmarkEnd w:id="177"/>
      <w:r/>
      <w:bookmarkStart w:id="178" w:name="_Hlt16619350"/>
      <w:r/>
      <w:bookmarkEnd w:id="178"/>
      <w:r/>
      <w:bookmarkStart w:id="179" w:name="_Hlt16619369"/>
      <w:r/>
      <w:bookmarkEnd w:id="179"/>
      <w:r/>
      <w:bookmarkStart w:id="180" w:name="_Toc120614244"/>
      <w:r/>
      <w:bookmarkEnd w:id="180"/>
      <w:r/>
      <w:bookmarkStart w:id="181" w:name="_Toc479757211"/>
      <w:r/>
      <w:bookmarkStart w:id="182" w:name="_Toc31380"/>
      <w:r>
        <w:rPr>
          <w:rFonts w:hint="eastAsia" w:ascii="宋体" w:hAnsi="宋体" w:eastAsia="宋体" w:cs="宋体"/>
          <w:color w:val="auto"/>
          <w:sz w:val="24"/>
          <w:szCs w:val="24"/>
          <w:highlight w:val="none"/>
        </w:rPr>
        <w:t xml:space="preserve">以下为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签订本项目合同的通用条款，</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不得提出实质性的修改，关于专用条款将由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人与</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结合本项目具体情况协商后签订。</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jc w:val="center"/>
        <w:spacing w:line="360" w:lineRule="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考古勘探合同书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甲方：泰州医药高新区（高港区）滨江工业园管理办公室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园区地块考古调查勘探工作技术服务项目经竞争性磋商采购，同时经甲乙双方友好协商，达成以下考古勘探合同。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一、考古勘探内容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1、项目名称：园区地块考古调查勘探工作技术服务项目。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2、勘探面积：总面积约为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平方米。具体勘探面积以经甲乙双方确认的实际勘探面积为准。具体实施项目由采购人确定，部分项目如取消，</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不可索赔。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3、考古勘探费用：依据采购结果，乙方以人民币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元/㎡的单价承接园区地块考古调查勘探工作技术服务项目。本合同形式为固定单价合同，项目实施过程中合同单价不予调整，最终费用结算方式：根据实际勘探面积为结算依据，以“实际勘探面积×</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单价”予以计算。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合同价包括但不限于与本委托任务相关的人员（包括工资和补贴）、</w:t>
      </w:r>
      <w:r>
        <w:rPr>
          <w:rFonts w:ascii="SimSun" w:hAnsi="SimSun" w:eastAsia="SimSun" w:cs="SimSun"/>
          <w:color w:val="000000"/>
          <w:sz w:val="24"/>
          <w:highlight w:val="white"/>
          <w:u w:val="single"/>
        </w:rPr>
        <w:t xml:space="preserve">地下文物考古调查、勘探</w:t>
      </w:r>
      <w:r>
        <w:rPr>
          <w:rFonts w:ascii="SimSun" w:hAnsi="SimSun" w:eastAsia="SimSun" w:cs="SimSun"/>
          <w:b/>
          <w:color w:val="000000"/>
          <w:sz w:val="24"/>
          <w:highlight w:val="white"/>
          <w:u w:val="single"/>
        </w:rPr>
        <w:t xml:space="preserve">（含清表、考古挖掘机挖掘后施工场地的平整恢复，施工完成后需对整个施工区域进行防尘网覆盖）</w:t>
      </w:r>
      <w:r/>
      <w:r>
        <w:rPr>
          <w:rFonts w:hint="eastAsia" w:ascii="宋体" w:hAnsi="宋体" w:eastAsia="宋体" w:cs="宋体"/>
          <w:color w:val="auto"/>
          <w:sz w:val="24"/>
          <w:szCs w:val="24"/>
          <w:highlight w:val="none"/>
        </w:rPr>
        <w:t xml:space="preserve">、专家评审费、车旅费、住勤费、餐饮费、税金及其他为完成委托任务所需发生的一切费用。现场内的通行条件由乙方自行踏勘，合同价已充分考虑施工现场的现状及所需设备和材料的各项费用，全部费用均包含在合同价中。</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订后甲方应提前以书面或口头形式告知乙方各地块进场时间及时序安排，以便乙方为达到考古勘探要求，提前准备好与本项目相关的足够的人力、物力以便完成项目勘探。乙方收到甲方通知后，按照甲方要求完成相关考古勘探工作并取得</w:t>
      </w:r>
      <w:r>
        <w:rPr>
          <w:rFonts w:hint="eastAsia" w:ascii="宋体" w:hAnsi="宋体" w:eastAsia="宋体" w:cs="宋体"/>
          <w:bCs/>
          <w:color w:val="auto"/>
          <w:sz w:val="24"/>
          <w:highlight w:val="none"/>
        </w:rPr>
        <w:t xml:space="preserve">省文物局盖章的《关于***地块文物保护工作意见》。</w:t>
      </w:r>
      <w:r/>
    </w:p>
    <w:p>
      <w:pPr>
        <w:numPr>
          <w:ilvl w:val="0"/>
          <w:numId w:val="1"/>
        </w:num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按照时间要求，在规定的服务期限内完成全部勘探工作，</w:t>
      </w:r>
      <w:r>
        <w:rPr>
          <w:rFonts w:hint="eastAsia" w:ascii="宋体" w:hAnsi="宋体" w:eastAsia="宋体" w:cs="宋体"/>
          <w:color w:val="auto"/>
          <w:sz w:val="24"/>
          <w:szCs w:val="24"/>
          <w:highlight w:val="none"/>
          <w:u w:val="single"/>
        </w:rPr>
        <w:t xml:space="preserve">取得</w:t>
      </w:r>
      <w:r>
        <w:rPr>
          <w:rFonts w:hint="eastAsia" w:ascii="宋体" w:hAnsi="宋体" w:cs="宋体"/>
          <w:color w:val="auto"/>
          <w:sz w:val="24"/>
          <w:szCs w:val="24"/>
          <w:highlight w:val="none"/>
          <w:u w:val="single"/>
          <w:lang w:val="en-US" w:eastAsia="zh-CN"/>
        </w:rPr>
        <w:t xml:space="preserve">江苏</w:t>
      </w:r>
      <w:r>
        <w:rPr>
          <w:rFonts w:hint="eastAsia" w:ascii="宋体" w:hAnsi="宋体" w:eastAsia="宋体" w:cs="宋体"/>
          <w:color w:val="auto"/>
          <w:sz w:val="24"/>
          <w:szCs w:val="24"/>
          <w:highlight w:val="none"/>
          <w:u w:val="single"/>
        </w:rPr>
        <w:t xml:space="preserve">省</w:t>
      </w:r>
      <w:r>
        <w:rPr>
          <w:rFonts w:hint="eastAsia" w:ascii="宋体" w:hAnsi="宋体" w:eastAsia="宋体" w:cs="宋体"/>
          <w:bCs/>
          <w:color w:val="auto"/>
          <w:sz w:val="24"/>
          <w:highlight w:val="none"/>
          <w:u w:val="single"/>
        </w:rPr>
        <w:t xml:space="preserve">文物局盖章的《关于***地块文物保护工作意见》</w:t>
      </w:r>
      <w:r>
        <w:rPr>
          <w:rFonts w:hint="eastAsia" w:ascii="宋体" w:hAnsi="宋体" w:eastAsia="宋体" w:cs="宋体"/>
          <w:color w:val="auto"/>
          <w:sz w:val="24"/>
          <w:szCs w:val="24"/>
          <w:highlight w:val="none"/>
          <w:u w:val="single"/>
        </w:rPr>
        <w:t xml:space="preserve">后一次性支付。</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5、项目服务期限：</w:t>
      </w:r>
      <w:r>
        <w:rPr>
          <w:rFonts w:hint="eastAsia" w:ascii="宋体" w:hAnsi="宋体" w:cs="宋体"/>
          <w:color w:val="auto"/>
          <w:sz w:val="24"/>
          <w:szCs w:val="24"/>
          <w:highlight w:val="none"/>
          <w:lang w:val="en-US" w:eastAsia="zh-CN"/>
        </w:rPr>
        <w:t xml:space="preserve">按照采购文件要求，自合同签订之日起2个月内完成全部工作</w:t>
      </w:r>
      <w:r>
        <w:rPr>
          <w:rFonts w:hint="eastAsia" w:ascii="宋体" w:hAnsi="宋体" w:eastAsia="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二、双方责任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1、负责考古调查、勘探项目的确认、协调等相关工作，积极协助乙方开展考古调查、勘探工作。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2、协助乙方调查采访项目所在地块原始居民。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3、及时向乙方提交该项目地块规划红线图。</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4、确保考古调查、勘探区域范围内无产权等纠纷。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5、协助文物部门对考古调查、勘探工作现场开展指导检查、审核验收等工作。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1、接受文物部门组织的专家对本项目考古调查、勘探工作现场的指导检查、监督管理及审核验收。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本项目考古调查、勘探工作后，及时整理并向文物部门指定的文物收藏机构移交有关考古调查、勘探资料及调查、勘探采集的文物标本，及时编制本项目考古调查、勘探工作成果报告，并对报告的准确性和科学性负责；根据文物部门所组织专家的意见与建议，及时修改完善本项目考古调查、勘探资料及本项目最终成果报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3、自主开展本项目考古调查、勘探工作，实行独立核算，自负盈亏。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4、在本项目考古调查、勘探工作期间，须严格遵守国家及当地相关法律法规。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5、自行解决本项目考古调查、勘探工作中的一切问题，包括但不限于工作人员及设备、交通、保险、医疗、税务、财务、吃住等。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严格按照国家文物局颁布的《田野考古操作规程》《考古勘探工作规程》（试行），及文物部门的相关要求开展工作，确保考古调查、勘探工作的质量及最终成果的真实可靠；由于乙方自身原因出现漏探、误探、瞒探等问题，使地下文物受损，给甲方及省文物局带来负面影响和损失，由此产生的后果和责任由乙方负完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负责本项目考古调查、勘探工作现场的安全保卫工作，并对服务过程中的安全负全部责任，所有用工人员的人身安全、工地现场的安全等方面的安全问题均由乙方负责，甲方可对乙方的安全工作进行监督提醒。在本项目考古调查、勘探工作期间，乙方调查、勘探发现古代遗迹、墓葬等遗存后，应立即采取有效保护措施，第一时间将所发现的古代遗存以清单形式书面通知甲方及文物部门，由甲方采取安全保卫措施。若乙方未及时通知，造成古代遗存的丢失、毁损，由乙方承担相应的民事及刑事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三、履约保证金：成交价的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%，在合同签订前缴纳，项目通过验收并取得省文物局意见后不计利息退还。</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四、其他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1.本合同经双方代表签字并加盖单位公章或合同章后生效。一式四份，甲乙双方各持贰份，各份均具有同等法律效力。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2.甲乙双方应诚实守信，按本合同约定履行各自的责任、义务，如有违约，违约方承担由此引起的责任和损失。</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因履行本合同事项引起争议时，应相互谅解，以支持对方工作为原则协商处理。如双方协商不成，应上报主管部门调解。调解不成时，任何一方均可就因本合同引起的或与本合同有关的任何争议，提请甲方所在地有管辖权的人民法院进行诉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首部载明的各方地址为一切形式的通知、催告及诉讼文书的送达地址，送达方均采用书面形式送达，如因受送达方提供的地址不准确或未及时书面告知变更后的地址，导致通知、催告及诉讼文书无法送达或未及时送达的，送达方采用邮寄形式送达的，退回之日视为送达之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5.本协议适用中华人民共和国现行有效之法律、行政法规和其他有约束力的规范性文件。</w:t>
      </w:r>
      <w:r/>
    </w:p>
    <w:p>
      <w:pPr>
        <w:pStyle w:val="932"/>
        <w:ind w:firstLine="480"/>
        <w:jc w:val="both"/>
        <w:spacing w:before="0" w:beforeAutospacing="0" w:after="0" w:afterAutospacing="0" w:line="520" w:lineRule="exact"/>
        <w:tabs>
          <w:tab w:val="left" w:pos="17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甲方：（盖章）                      乙方：（盖章）</w:t>
      </w:r>
      <w:r/>
    </w:p>
    <w:p>
      <w:pPr>
        <w:pStyle w:val="932"/>
        <w:ind w:firstLine="480"/>
        <w:jc w:val="both"/>
        <w:spacing w:before="0" w:beforeAutospacing="0" w:after="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甲方法人代表</w:t>
      </w:r>
      <w:bookmarkStart w:id="183" w:name="_Hlk77953516"/>
      <w:r>
        <w:rPr>
          <w:rFonts w:hint="eastAsia" w:ascii="宋体" w:hAnsi="宋体" w:eastAsia="宋体" w:cs="宋体"/>
          <w:color w:val="auto"/>
          <w:highlight w:val="none"/>
        </w:rPr>
        <w:t xml:space="preserve">/</w:t>
      </w:r>
      <w:bookmarkEnd w:id="183"/>
      <w:r>
        <w:rPr>
          <w:rFonts w:hint="eastAsia" w:ascii="宋体" w:hAnsi="宋体" w:eastAsia="宋体" w:cs="宋体"/>
          <w:color w:val="auto"/>
          <w:highlight w:val="none"/>
        </w:rPr>
        <w:t xml:space="preserve">                       乙方法人代表/</w:t>
      </w:r>
      <w:r/>
    </w:p>
    <w:p>
      <w:pPr>
        <w:pStyle w:val="932"/>
        <w:ind w:firstLine="480"/>
        <w:jc w:val="both"/>
        <w:spacing w:before="0" w:beforeAutospacing="0" w:after="0" w:afterAutospacing="0" w:line="520" w:lineRule="exact"/>
        <w:rPr>
          <w:rFonts w:hint="eastAsia" w:ascii="宋体" w:hAnsi="宋体" w:eastAsia="宋体" w:cs="宋体"/>
          <w:color w:val="auto"/>
          <w:highlight w:val="none"/>
        </w:rPr>
      </w:pPr>
      <w:r/>
      <w:bookmarkStart w:id="184" w:name="_Hlk77953533"/>
      <w:r>
        <w:rPr>
          <w:rFonts w:hint="eastAsia" w:ascii="宋体" w:hAnsi="宋体" w:eastAsia="宋体" w:cs="宋体"/>
          <w:color w:val="auto"/>
          <w:highlight w:val="none"/>
        </w:rPr>
        <w:t xml:space="preserve">委托代理人：</w:t>
      </w:r>
      <w:bookmarkEnd w:id="184"/>
      <w:r>
        <w:rPr>
          <w:rFonts w:hint="eastAsia" w:ascii="宋体" w:hAnsi="宋体" w:eastAsia="宋体" w:cs="宋体"/>
          <w:color w:val="auto"/>
          <w:highlight w:val="none"/>
        </w:rPr>
        <w:t xml:space="preserve">（盖章或签字）：       委托代理人：（盖章或签字）</w:t>
      </w:r>
      <w:r/>
    </w:p>
    <w:p>
      <w:pPr>
        <w:pStyle w:val="932"/>
        <w:ind w:firstLine="480"/>
        <w:jc w:val="both"/>
        <w:spacing w:before="0" w:beforeAutospacing="0" w:after="0" w:afterAutospacing="0" w:line="520" w:lineRule="exact"/>
        <w:rPr>
          <w:rFonts w:hint="eastAsia" w:ascii="宋体" w:hAnsi="宋体" w:eastAsia="宋体" w:cs="宋体"/>
          <w:color w:val="auto"/>
          <w:sz w:val="44"/>
          <w:szCs w:val="44"/>
          <w:highlight w:val="none"/>
        </w:rPr>
      </w:pPr>
      <w:r>
        <w:rPr>
          <w:rFonts w:hint="eastAsia" w:ascii="宋体" w:hAnsi="宋体" w:eastAsia="宋体" w:cs="宋体"/>
          <w:color w:val="auto"/>
          <w:highlight w:val="none"/>
        </w:rPr>
        <w:t xml:space="preserve">日期：   年   月   日          </w:t>
      </w:r>
      <w:r>
        <w:rPr>
          <w:rFonts w:hint="eastAsia" w:eastAsia="宋体" w:cs="宋体"/>
          <w:color w:val="auto"/>
          <w:highlight w:val="none"/>
          <w:lang w:val="en-US" w:eastAsia="zh-CN"/>
        </w:rPr>
        <w:t xml:space="preserve">     </w:t>
      </w:r>
      <w:r>
        <w:rPr>
          <w:rFonts w:hint="eastAsia" w:ascii="宋体" w:hAnsi="宋体" w:eastAsia="宋体" w:cs="宋体"/>
          <w:color w:val="auto"/>
          <w:highlight w:val="none"/>
        </w:rPr>
        <w:t xml:space="preserve">日期：    年   月  日</w:t>
      </w:r>
      <w:r/>
    </w:p>
    <w:p>
      <w:pPr>
        <w:rPr>
          <w:rFonts w:hint="eastAsia"/>
          <w:highlight w:val="none"/>
        </w:rPr>
      </w:pPr>
      <w:r>
        <w:rPr>
          <w:rFonts w:hint="eastAsia"/>
          <w:highlight w:val="none"/>
        </w:rPr>
      </w:r>
      <w:r/>
    </w:p>
    <w:p>
      <w:pPr>
        <w:jc w:val="center"/>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w:t>
      </w:r>
      <w:bookmarkEnd w:id="181"/>
      <w:r>
        <w:rPr>
          <w:rFonts w:hint="eastAsia" w:ascii="宋体" w:hAnsi="宋体" w:eastAsia="宋体" w:cs="宋体"/>
          <w:color w:val="auto"/>
          <w:sz w:val="44"/>
          <w:szCs w:val="44"/>
          <w:highlight w:val="none"/>
        </w:rPr>
        <w:t xml:space="preserve">四章 采购需求</w:t>
      </w:r>
      <w:bookmarkEnd w:id="182"/>
      <w:r/>
      <w:bookmarkStart w:id="185" w:name="_Toc26554093"/>
      <w:r/>
      <w:bookmarkEnd w:id="185"/>
      <w:r/>
      <w:bookmarkStart w:id="186" w:name="_Toc49090575"/>
      <w:r/>
      <w:bookmarkEnd w:id="186"/>
      <w:r/>
      <w:r/>
    </w:p>
    <w:p>
      <w:pPr>
        <w:ind w:firstLine="482"/>
        <w:spacing w:line="520" w:lineRule="exact"/>
        <w:widowControl/>
        <w:rPr>
          <w:rFonts w:hint="eastAsia" w:ascii="宋体" w:hAnsi="宋体" w:eastAsia="宋体" w:cs="宋体"/>
          <w:b/>
          <w:color w:val="auto"/>
          <w:sz w:val="24"/>
          <w:highlight w:val="none"/>
        </w:rPr>
      </w:pPr>
      <w:r/>
      <w:bookmarkStart w:id="187" w:name="_Toc22673"/>
      <w:r/>
      <w:bookmarkStart w:id="188" w:name="_Toc120614281"/>
      <w:r>
        <w:rPr>
          <w:rFonts w:hint="eastAsia" w:ascii="宋体" w:hAnsi="宋体" w:eastAsia="宋体" w:cs="宋体"/>
          <w:b/>
          <w:color w:val="auto"/>
          <w:sz w:val="24"/>
          <w:highlight w:val="none"/>
        </w:rPr>
        <w:t xml:space="preserve">一、项目概况：</w:t>
      </w:r>
      <w:r/>
    </w:p>
    <w:p>
      <w:pPr>
        <w:ind w:firstLine="480"/>
        <w:spacing w:line="520" w:lineRule="exact"/>
        <w:widowControl/>
        <w:rPr>
          <w:rFonts w:hint="eastAsia" w:ascii="宋体" w:hAnsi="宋体" w:eastAsia="宋体" w:cs="宋体"/>
          <w:bCs/>
          <w:color w:val="auto"/>
          <w:sz w:val="24"/>
          <w:highlight w:val="none"/>
          <w:lang w:bidi="zh-CN"/>
        </w:rPr>
      </w:pPr>
      <w:r>
        <w:rPr>
          <w:rFonts w:hint="eastAsia" w:ascii="宋体" w:hAnsi="宋体" w:eastAsia="宋体" w:cs="宋体"/>
          <w:color w:val="auto"/>
          <w:sz w:val="24"/>
          <w:szCs w:val="24"/>
          <w:highlight w:val="none"/>
          <w:lang w:val="en-US" w:eastAsia="zh-CN"/>
        </w:rPr>
        <w:t xml:space="preserve">对泰州市高港区化学新材料产业园区内两个拟开发地块进行考古调查、文物勘探。具体位置：地块一位于内泰镇路西侧、创汇路南侧，面积约120000㎡；地块二位于园内滨江金属物流交易市场南侧、南官河西侧，面积约19000㎡。</w:t>
      </w:r>
      <w:r>
        <w:rPr>
          <w:rFonts w:hint="eastAsia" w:ascii="宋体" w:hAnsi="宋体" w:eastAsia="宋体" w:cs="宋体"/>
          <w:bCs/>
          <w:color w:val="auto"/>
          <w:sz w:val="24"/>
          <w:highlight w:val="none"/>
          <w:lang w:bidi="zh-CN"/>
        </w:rPr>
        <w:t xml:space="preserve">实际面积以盖章红线图为准。</w:t>
      </w:r>
      <w:r/>
    </w:p>
    <w:p>
      <w:pPr>
        <w:ind w:firstLine="482"/>
        <w:spacing w:line="52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zh-CN"/>
        </w:rPr>
        <w:t xml:space="preserve">二、</w:t>
      </w:r>
      <w:r>
        <w:rPr>
          <w:rFonts w:hint="eastAsia" w:ascii="宋体" w:hAnsi="宋体" w:eastAsia="宋体" w:cs="宋体"/>
          <w:b/>
          <w:color w:val="auto"/>
          <w:sz w:val="24"/>
          <w:highlight w:val="none"/>
        </w:rPr>
        <w:t xml:space="preserve">服务工作要求：</w:t>
      </w:r>
      <w:r/>
    </w:p>
    <w:p>
      <w:pPr>
        <w:ind w:firstLine="480"/>
        <w:spacing w:line="520" w:lineRule="exact"/>
        <w:widowControl/>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（一）</w:t>
      </w:r>
      <w:r>
        <w:rPr>
          <w:rFonts w:hint="eastAsia" w:ascii="宋体" w:hAnsi="宋体" w:eastAsia="宋体" w:cs="宋体"/>
          <w:color w:val="auto"/>
          <w:sz w:val="24"/>
          <w:highlight w:val="none"/>
        </w:rPr>
        <w:t xml:space="preserve">对</w:t>
      </w:r>
      <w:r>
        <w:rPr>
          <w:rFonts w:hint="eastAsia" w:ascii="宋体" w:hAnsi="宋体" w:eastAsia="宋体" w:cs="宋体"/>
          <w:color w:val="auto"/>
          <w:sz w:val="24"/>
          <w:szCs w:val="24"/>
          <w:highlight w:val="none"/>
        </w:rPr>
        <w:t xml:space="preserve">园区地块</w:t>
      </w:r>
      <w:r>
        <w:rPr>
          <w:rFonts w:hint="eastAsia" w:ascii="宋体" w:hAnsi="宋体" w:eastAsia="宋体" w:cs="宋体"/>
          <w:color w:val="auto"/>
          <w:sz w:val="24"/>
          <w:highlight w:val="none"/>
        </w:rPr>
        <w:t xml:space="preserve">进行全面文物考古调查、勘探，负责编制《用地块范围考古调查、勘探工作报告》及相关手续办理。</w:t>
      </w:r>
      <w:r/>
    </w:p>
    <w:p>
      <w:pPr>
        <w:ind w:firstLine="480"/>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4"/>
          <w:highlight w:val="none"/>
          <w:lang w:val="en-US" w:bidi="zh-CN"/>
        </w:rPr>
        <w:t xml:space="preserve">二</w:t>
      </w:r>
      <w:r>
        <w:rPr>
          <w:rFonts w:hint="eastAsia" w:ascii="宋体" w:hAnsi="宋体" w:eastAsia="宋体" w:cs="宋体"/>
          <w:color w:val="auto"/>
          <w:sz w:val="24"/>
          <w:highlight w:val="none"/>
          <w:lang w:bidi="zh-CN"/>
        </w:rPr>
        <w:t xml:space="preserve">）负责编制《用地块范围考古调查、勘探工作报告》，协助省文物局组织的专家验收，同时根据专家验收意见报文物部门审批，最终获取</w:t>
      </w:r>
      <w:r>
        <w:rPr>
          <w:rFonts w:hint="eastAsia" w:ascii="宋体" w:hAnsi="宋体" w:eastAsia="宋体" w:cs="宋体"/>
          <w:bCs/>
          <w:color w:val="auto"/>
          <w:sz w:val="24"/>
          <w:highlight w:val="none"/>
        </w:rPr>
        <w:t xml:space="preserve">省文物局盖章的《关于***地块文物保护工作意见》</w:t>
      </w:r>
      <w:r>
        <w:rPr>
          <w:rFonts w:hint="eastAsia" w:ascii="宋体" w:hAnsi="宋体" w:eastAsia="宋体" w:cs="宋体"/>
          <w:color w:val="auto"/>
          <w:sz w:val="24"/>
          <w:highlight w:val="none"/>
          <w:lang w:bidi="zh-CN"/>
        </w:rPr>
        <w:t xml:space="preserve">。</w:t>
      </w:r>
      <w:r/>
    </w:p>
    <w:p>
      <w:pPr>
        <w:ind w:firstLine="480"/>
        <w:spacing w:line="52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）工作须按照国家文物局颁布的《田野考古工作规程》、《考古勘探工作规程（试行）》进行，所有的调查、勘探成果需科学规范、精确记录。</w:t>
      </w:r>
      <w:r/>
    </w:p>
    <w:p>
      <w:pPr>
        <w:ind w:firstLine="480"/>
        <w:spacing w:line="520" w:lineRule="exact"/>
        <w:widowControl/>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服务标准：</w:t>
      </w:r>
      <w:r>
        <w:rPr>
          <w:rFonts w:hint="eastAsia" w:ascii="宋体" w:hAnsi="宋体" w:eastAsia="宋体" w:cs="宋体"/>
          <w:bCs/>
          <w:color w:val="auto"/>
          <w:sz w:val="24"/>
          <w:highlight w:val="none"/>
          <w:lang w:bidi="zh-CN"/>
        </w:rPr>
        <w:t xml:space="preserve">成交供应商</w:t>
      </w:r>
      <w:r>
        <w:rPr>
          <w:rFonts w:hint="eastAsia" w:ascii="宋体" w:hAnsi="宋体" w:eastAsia="宋体" w:cs="宋体"/>
          <w:color w:val="auto"/>
          <w:sz w:val="24"/>
          <w:szCs w:val="24"/>
          <w:highlight w:val="none"/>
        </w:rPr>
        <w:t xml:space="preserve">须按照国家文物局颁布的《田野考古操作规程》及《考古勘探工作规程》（试行）完成各类文字记录、照相摄像记录、测绘记录，记录要求、标准及其归档等参照江苏省文物局考古调查、勘探项目验收之规定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在考古调查、勘探工作结束后，</w:t>
      </w:r>
      <w:r>
        <w:rPr>
          <w:rFonts w:hint="eastAsia" w:ascii="宋体" w:hAnsi="宋体" w:eastAsia="宋体" w:cs="宋体"/>
          <w:bCs/>
          <w:color w:val="auto"/>
          <w:sz w:val="24"/>
          <w:highlight w:val="none"/>
          <w:lang w:bidi="zh-CN"/>
        </w:rPr>
        <w:t xml:space="preserve">成交供应商</w:t>
      </w:r>
      <w:r>
        <w:rPr>
          <w:rFonts w:hint="eastAsia" w:ascii="宋体" w:hAnsi="宋体" w:eastAsia="宋体" w:cs="宋体"/>
          <w:color w:val="auto"/>
          <w:sz w:val="24"/>
          <w:szCs w:val="24"/>
          <w:highlight w:val="none"/>
        </w:rPr>
        <w:t xml:space="preserve">须组织（采购人配合其出具相关手续）论证及报批工作并负责相关费用，并出具正式地块文物考古调查勘探报告和省文物局盖章的《关于***地块文物保护工作意见》。</w:t>
      </w:r>
      <w:r>
        <w:rPr>
          <w:rFonts w:hint="eastAsia" w:ascii="宋体" w:hAnsi="宋体" w:eastAsia="宋体" w:cs="宋体"/>
          <w:bCs/>
          <w:color w:val="auto"/>
          <w:sz w:val="24"/>
          <w:highlight w:val="none"/>
          <w:lang w:bidi="zh-CN"/>
        </w:rPr>
        <w:t xml:space="preserve">成交供应商</w:t>
      </w:r>
      <w:r>
        <w:rPr>
          <w:rFonts w:hint="eastAsia" w:ascii="宋体" w:hAnsi="宋体" w:eastAsia="宋体" w:cs="宋体"/>
          <w:color w:val="auto"/>
          <w:sz w:val="24"/>
          <w:szCs w:val="24"/>
          <w:highlight w:val="none"/>
        </w:rPr>
        <w:t xml:space="preserve">须同步向采购人及文物部门提交符合部门条件与要求的考古调查、勘探成果报告纸质版叁套、电子版壹套，并一次性向文物部门指定的文物收藏机构移交本项目地块考古调查、勘探资料（纸质和电子版各壹套）及调查、勘探采集的文物标本。</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）本项目的实施必须符合国家、江苏省、有关规范、规程和相关技术文件，以及招标要求，提交成果资料应详实、准确、全面。</w:t>
      </w:r>
      <w:r/>
    </w:p>
    <w:p>
      <w:pPr>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三、服务人员要求：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1.为了满足考古调查勘探项目的要求及强度，供应商须配备相应的人员进行考古调查勘探，项目成员需接受过专业训练、具有多年从事</w:t>
      </w:r>
      <w:r>
        <w:rPr>
          <w:rFonts w:hint="eastAsia" w:ascii="宋体" w:hAnsi="宋体" w:eastAsia="宋体" w:cs="宋体"/>
          <w:bCs/>
          <w:color w:val="auto"/>
          <w:sz w:val="24"/>
          <w:highlight w:val="none"/>
        </w:rPr>
        <w:t xml:space="preserve">考古调查勘探</w:t>
      </w:r>
      <w:r>
        <w:rPr>
          <w:rFonts w:hint="eastAsia" w:ascii="宋体" w:hAnsi="宋体" w:eastAsia="宋体" w:cs="宋体"/>
          <w:color w:val="auto"/>
          <w:sz w:val="24"/>
          <w:highlight w:val="none"/>
        </w:rPr>
        <w:t xml:space="preserve">的工作经验。供应商须为本项目配备项目负责人、技术负责人、现场联络人、各种专业技术人员和相关服务人员。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2.当天考古调查勘探工作结束后，现场不得留有项目成员的遗留垃圾，保证现场人走场清。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3.进场前，供应商应组织相关人员的安全教育培训，明确工作纪律。如由供应商人员所引起的事故，供应商应承担所有责任，同时采购人保留追究其相关责任的权利。</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4.供应商须加强现场管理，维持现场秩序，保障考古调查勘探工作有条不紊的进行，同时采取安全防护措施确保现场安全。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人员因违规操作发生事故或损坏地下管线，由供应商自行处理并承担由此造成的所有损失和费用。对考古工作中出现的高危项目，供应商应向采购人说明，并要求采取合理的保护措施，确保人员安全。在安全条件和措施不到位的情况下，供应商应及时向采购人报告并暂停施工。</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6.供应商对其勘探项目的人员、物资、场地等安全负全部责任。</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四、其他要求：</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（一）采购人责任：</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1.负责考古调查、勘探项目的确认、协调等相关工作，积极协助成交供应商开展考古调查、勘探工作。</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2.协助成交供应商调查采访项目所在地块原始居民。</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3.及时向成交供应商提交该项目地块规划红线图。</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4.确保考古调查、勘探区域范围内无产权等纠纷。</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5.协助文物部门对考古调查、勘探工作现场开展指导检查、审核验收等工作。</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（二）成交供应商责任：</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1.接受文物部门组织的专家对本项目考古调查、勘探工作现场的指导检查、监督管理及审核验收。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本项目考古调查、勘探工作后，及时整理并向文物部门指定的文物收藏机构移交有关考古调查、勘探资料及调查、勘探采集的文物标本，及时编制本项目考古调查、勘探工作成果报告，并对报告的准确性和科学性负责；根据文物部门所组织专家的意见与建议，及时修改完善本项目考古调查、勘探资料及本项目最终成果报告。</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3.自主开展本项目考古调查、勘探工作，实行独立核算，自负盈亏。</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4.在本项目考古调查、勘探工作期间，须严格遵守国家及省相关法律法规。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5.自行解决本项目考古调查、勘探工作中的一切问题，包括但不限于工作人员及设备、交通、保险、医疗、税务、财务、吃住等。</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6.严格按照国家文物局颁布的《田野考古操作规程》《考古勘探工作规程》（试行），及文物部门的相关要求开展工作，确保考古调查、勘探工作的质量及最终成果的真实可靠；由于</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自身原因出现漏探、误探、瞒探等问题，使地下文物受损，给采购人及省文物局带来负面影响和损失，由此产生的后果和责任由</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负完全责任。</w:t>
      </w:r>
      <w:r/>
    </w:p>
    <w:p>
      <w:pPr>
        <w:ind w:firstLine="48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负责本项目考古调查、勘探工作现场的安全保卫工作。在本项目考古调查、勘探工作期间，</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调查、勘探发现古代遗迹、墓葬等遗存后，应立即采取有效保护措施，第一时间将所发现的古代遗存以清单形式书面通知采购人及文物部门，由采购人采取安全保卫措施。若</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未及时通知，造成古代遗存的丢失、毁损，由</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rPr>
        <w:t xml:space="preserve">承担相应的民事及刑事责任。</w:t>
      </w:r>
      <w:r/>
    </w:p>
    <w:p>
      <w:pPr>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五、商务要求：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1.合同履行期限：</w:t>
      </w:r>
      <w:r>
        <w:rPr>
          <w:rFonts w:hint="eastAsia" w:ascii="宋体" w:hAnsi="宋体" w:cs="宋体"/>
          <w:color w:val="auto"/>
          <w:sz w:val="24"/>
          <w:szCs w:val="24"/>
          <w:highlight w:val="none"/>
          <w:lang w:val="en-US" w:eastAsia="zh-CN"/>
        </w:rPr>
        <w:t xml:space="preserve">自合同签订之日起2个月内完成全部工作</w:t>
      </w:r>
      <w:r>
        <w:rPr>
          <w:rFonts w:hint="eastAsia" w:ascii="宋体" w:hAnsi="宋体" w:eastAsia="宋体" w:cs="宋体"/>
          <w:color w:val="auto"/>
          <w:sz w:val="24"/>
          <w:szCs w:val="24"/>
          <w:highlight w:val="none"/>
          <w:lang w:val="en-US" w:eastAsia="zh-CN"/>
        </w:rPr>
        <w:t xml:space="preserve">。</w:t>
      </w:r>
      <w:r/>
    </w:p>
    <w:p>
      <w:pPr>
        <w:ind w:left="0" w:right="0" w:firstLine="480"/>
        <w:jc w:val="both"/>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highlight w:val="none"/>
        </w:rPr>
        <w:t xml:space="preserve">2.</w:t>
      </w:r>
      <w:r>
        <w:rPr>
          <w:rFonts w:ascii="SimSun" w:hAnsi="SimSun" w:eastAsia="SimSun" w:cs="SimSun"/>
          <w:color w:val="000000"/>
          <w:sz w:val="24"/>
          <w:u w:val="single"/>
        </w:rPr>
        <w:t xml:space="preserve">本次响应所报价格应包括磋商文件所确定的招标范围相应服务的提供人员（包括工资和补贴）</w:t>
      </w:r>
      <w:r>
        <w:rPr>
          <w:rFonts w:ascii="SimSun" w:hAnsi="SimSun" w:eastAsia="SimSun" w:cs="SimSun"/>
          <w:color w:val="000000"/>
          <w:sz w:val="24"/>
          <w:highlight w:val="white"/>
          <w:u w:val="single"/>
        </w:rPr>
        <w:t xml:space="preserve">、地下文物考古调查、勘探</w:t>
      </w:r>
      <w:r>
        <w:rPr>
          <w:rFonts w:ascii="SimSun" w:hAnsi="SimSun" w:eastAsia="SimSun" w:cs="SimSun"/>
          <w:b/>
          <w:color w:val="000000"/>
          <w:sz w:val="24"/>
          <w:highlight w:val="white"/>
          <w:u w:val="single"/>
        </w:rPr>
        <w:t xml:space="preserve">（含清表、考古挖掘机挖掘后施工场地的平整恢复，施工完成后需对整个施工区域进行防尘网覆盖）、</w:t>
      </w:r>
      <w:r>
        <w:rPr>
          <w:rFonts w:ascii="SimSun" w:hAnsi="SimSun" w:eastAsia="SimSun" w:cs="SimSun"/>
          <w:color w:val="000000"/>
          <w:sz w:val="24"/>
          <w:highlight w:val="white"/>
          <w:u w:val="single"/>
        </w:rPr>
        <w:t xml:space="preserve">勘探报告专家评审费、车旅费、住勤费、餐饮费、税金等政策性文件规定及合同包含的所有风险、责任等各项应有费用，以及为完成该项服务项目所涉及到的一切相关费用，采购人不再支付其他任何费用。</w:t>
      </w:r>
      <w:r>
        <w:rPr>
          <w:highlight w:val="white"/>
        </w:rPr>
      </w:r>
      <w:r>
        <w:rPr>
          <w:sz w:val="21"/>
          <w:highlight w:val="white"/>
        </w:rP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w:t>
      </w:r>
      <w:r>
        <w:rPr>
          <w:rFonts w:hint="eastAsia" w:ascii="宋体" w:hAnsi="宋体" w:eastAsia="宋体" w:cs="宋体"/>
          <w:b/>
          <w:bCs/>
          <w:color w:val="auto"/>
          <w:sz w:val="24"/>
          <w:szCs w:val="24"/>
          <w:highlight w:val="none"/>
        </w:rPr>
        <w:t xml:space="preserve">最高限价单价为</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7.8</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面积暂定为139000㎡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，最高限价总价暂定为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08.42</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万元。</w:t>
      </w:r>
      <w:r>
        <w:rPr>
          <w:rFonts w:hint="eastAsia" w:ascii="宋体" w:hAnsi="宋体" w:eastAsia="宋体" w:cs="宋体"/>
          <w:color w:val="auto"/>
          <w:sz w:val="24"/>
          <w:szCs w:val="24"/>
          <w:highlight w:val="none"/>
        </w:rPr>
        <w:t xml:space="preserve">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单位报价时不得高于最高限价及单价限价，否则将视为未满足磋商文件的实质性要求，作无效</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总价/139000㎡。</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4.合同形式：固定单价合同。</w:t>
      </w:r>
      <w:r>
        <w:rPr>
          <w:rFonts w:hint="eastAsia" w:ascii="宋体" w:hAnsi="宋体" w:eastAsia="宋体" w:cs="宋体"/>
          <w:color w:val="auto"/>
          <w:sz w:val="24"/>
          <w:szCs w:val="24"/>
          <w:highlight w:val="none"/>
        </w:rPr>
        <w:t xml:space="preserve">最终结算方式：根据实际勘探面积为结算依据，以“实际勘探面积×</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单价”予以计算；</w:t>
      </w:r>
      <w:r>
        <w:rPr>
          <w:rFonts w:hint="eastAsia" w:ascii="宋体" w:hAnsi="宋体" w:eastAsia="宋体" w:cs="宋体"/>
          <w:color w:val="auto"/>
          <w:sz w:val="24"/>
          <w:highlight w:val="none"/>
        </w:rP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highlight w:val="none"/>
        </w:rPr>
        <w:t xml:space="preserve">5.付款方式：</w:t>
      </w:r>
      <w:r>
        <w:rPr>
          <w:rFonts w:hint="eastAsia" w:ascii="宋体" w:hAnsi="宋体" w:cs="宋体"/>
          <w:color w:val="auto"/>
          <w:sz w:val="24"/>
          <w:szCs w:val="24"/>
          <w:highlight w:val="none"/>
          <w:lang w:val="en-US" w:eastAsia="zh-CN"/>
        </w:rPr>
        <w:t xml:space="preserve">按照时间要求，在规定的服务期限内完成全部勘探工作，</w:t>
      </w:r>
      <w:r>
        <w:rPr>
          <w:rFonts w:hint="eastAsia" w:ascii="宋体" w:hAnsi="宋体" w:eastAsia="宋体" w:cs="宋体"/>
          <w:color w:val="auto"/>
          <w:sz w:val="24"/>
          <w:szCs w:val="24"/>
          <w:highlight w:val="none"/>
          <w:u w:val="single"/>
        </w:rPr>
        <w:t xml:space="preserve">取得</w:t>
      </w:r>
      <w:r>
        <w:rPr>
          <w:rFonts w:hint="eastAsia" w:ascii="宋体" w:hAnsi="宋体" w:cs="宋体"/>
          <w:color w:val="auto"/>
          <w:sz w:val="24"/>
          <w:szCs w:val="24"/>
          <w:highlight w:val="none"/>
          <w:u w:val="single"/>
          <w:lang w:val="en-US" w:eastAsia="zh-CN"/>
        </w:rPr>
        <w:t xml:space="preserve">江苏</w:t>
      </w:r>
      <w:r>
        <w:rPr>
          <w:rFonts w:hint="eastAsia" w:ascii="宋体" w:hAnsi="宋体" w:eastAsia="宋体" w:cs="宋体"/>
          <w:color w:val="auto"/>
          <w:sz w:val="24"/>
          <w:szCs w:val="24"/>
          <w:highlight w:val="none"/>
          <w:u w:val="single"/>
        </w:rPr>
        <w:t xml:space="preserve">省</w:t>
      </w:r>
      <w:r>
        <w:rPr>
          <w:rFonts w:hint="eastAsia" w:ascii="宋体" w:hAnsi="宋体" w:eastAsia="宋体" w:cs="宋体"/>
          <w:bCs/>
          <w:color w:val="auto"/>
          <w:sz w:val="24"/>
          <w:highlight w:val="none"/>
          <w:u w:val="single"/>
        </w:rPr>
        <w:t xml:space="preserve">文物局盖章的《关于***地块文物保护工作意见》</w:t>
      </w:r>
      <w:r>
        <w:rPr>
          <w:rFonts w:hint="eastAsia" w:ascii="宋体" w:hAnsi="宋体" w:eastAsia="宋体" w:cs="宋体"/>
          <w:color w:val="auto"/>
          <w:sz w:val="24"/>
          <w:szCs w:val="24"/>
          <w:highlight w:val="none"/>
          <w:u w:val="single"/>
        </w:rPr>
        <w:t xml:space="preserve">后一次性支付。</w:t>
      </w: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6.履约保证金：合同总价的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%，合同签订前以银行转账、支票、汇票、本票或者金融机构、担保机构出具的保函、保险机构出具的保证保险等非现金形式提交甲方指定账户；项目验收合格后不计利息退还。</w:t>
      </w:r>
      <w:r/>
    </w:p>
    <w:p>
      <w:pPr>
        <w:ind w:firstLine="54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numPr>
          <w:ilvl w:val="0"/>
          <w:numId w:val="2"/>
        </w:numPr>
        <w:ind w:firstLine="480"/>
        <w:spacing w:line="520" w:lineRule="exact"/>
        <w:tabs>
          <w:tab w:val="left" w:pos="0" w:leader="none"/>
          <w:tab w:val="clear" w:pos="312"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不得进行转包。未经采购人同意，</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不得采用分包的形式履行合同。否则采购人有权终止合同。转包或分包造成采购人损失的，</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还应承担相应赔偿责任。</w:t>
      </w:r>
      <w:r/>
    </w:p>
    <w:p>
      <w:pPr>
        <w:pStyle w:val="921"/>
        <w:numPr>
          <w:ilvl w:val="0"/>
          <w:numId w:val="0"/>
        </w:numPr>
        <w:jc w:val="both"/>
        <w:keepLines/>
        <w:keepNext/>
        <w:spacing w:before="280" w:after="290" w:line="376" w:lineRule="auto"/>
        <w:widowControl w:val="off"/>
        <w:rPr>
          <w:rFonts w:hint="eastAsia"/>
          <w:highlight w:val="none"/>
        </w:rPr>
        <w:outlineLvl w:val="3"/>
      </w:pPr>
      <w:r>
        <w:rPr>
          <w:rFonts w:hint="eastAsia"/>
          <w:highlight w:val="none"/>
        </w:rPr>
      </w:r>
      <w:r/>
    </w:p>
    <w:p>
      <w:pPr>
        <w:rPr>
          <w:rFonts w:hint="eastAsia"/>
          <w:highlight w:val="none"/>
        </w:rPr>
      </w:pPr>
      <w:r>
        <w:rPr>
          <w:rFonts w:hint="eastAsia"/>
          <w:highlight w:val="none"/>
        </w:rPr>
      </w:r>
      <w:r/>
    </w:p>
    <w:p>
      <w:pPr>
        <w:pStyle w:val="921"/>
        <w:rPr>
          <w:rFonts w:hint="eastAsia"/>
          <w:highlight w:val="none"/>
        </w:rPr>
      </w:pPr>
      <w:r>
        <w:rPr>
          <w:rFonts w:hint="eastAsia"/>
          <w:highlight w:val="none"/>
        </w:rPr>
      </w:r>
      <w:r/>
    </w:p>
    <w:p>
      <w:pPr>
        <w:rPr>
          <w:rFonts w:hint="eastAsia"/>
          <w:highlight w:val="none"/>
        </w:rPr>
      </w:pPr>
      <w:r>
        <w:rPr>
          <w:rFonts w:hint="eastAsia"/>
          <w:highlight w:val="none"/>
        </w:rPr>
      </w:r>
      <w:r/>
    </w:p>
    <w:p>
      <w:pPr>
        <w:pStyle w:val="921"/>
        <w:rPr>
          <w:rFonts w:hint="eastAsia"/>
          <w:highlight w:val="none"/>
        </w:rPr>
      </w:pPr>
      <w:r>
        <w:rPr>
          <w:rFonts w:hint="eastAsia"/>
          <w:highlight w:val="none"/>
        </w:rPr>
      </w:r>
      <w:r/>
    </w:p>
    <w:p>
      <w:pPr>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第五章 评审方法与评审标准</w:t>
      </w:r>
      <w:bookmarkEnd w:id="187"/>
      <w:r/>
      <w:bookmarkEnd w:id="18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政府采购政策功能落实</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其他未列明行业 </w:t>
      </w:r>
      <w:r>
        <w:rPr>
          <w:rFonts w:hint="eastAsia" w:ascii="宋体" w:hAnsi="宋体" w:eastAsia="宋体" w:cs="宋体"/>
          <w:bCs/>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.根据《商品包装政府采购需求标准（试行）》、《快递包装政府采购需求标准（试行）》的通知（财办库[2020]123号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要求，商品使用的塑料、纸质、木材等包装需达到环保要求。</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keepLines w:val="0"/>
        <w:keepNext w:val="0"/>
        <w:pageBreakBefore w:val="0"/>
        <w:spacing w:before="120" w:after="120" w:line="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923"/>
        <w:tblpPr w:horzAnchor="page" w:tblpX="1000" w:vertAnchor="text" w:tblpY="304" w:leftFromText="180" w:topFromText="0" w:rightFromText="180" w:bottomFromText="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47"/>
        <w:gridCol w:w="795"/>
        <w:gridCol w:w="6953"/>
      </w:tblGrid>
      <w:tr>
        <w:trPr>
          <w:cantSplit/>
          <w:trHeight w:val="87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1101"/>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采用低价优先法计算，即满足</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文件要求且</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价格最低的</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报价为评标基准价，其价格分为满分。其他</w:t>
            </w: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eastAsia="宋体" w:cs="Times New Roman"/>
                <w:color w:val="auto"/>
                <w:sz w:val="21"/>
                <w:szCs w:val="21"/>
                <w:highlight w:val="none"/>
              </w:rPr>
              <w:t xml:space="preserve">的价</w:t>
            </w:r>
            <w:r>
              <w:rPr>
                <w:rFonts w:hint="default" w:ascii="Times New Roman" w:hAnsi="Times New Roman" w:eastAsia="宋体" w:cs="Times New Roman"/>
                <w:color w:val="auto"/>
                <w:sz w:val="21"/>
                <w:szCs w:val="21"/>
                <w:highlight w:val="none"/>
                <w:lang w:eastAsia="zh-CN"/>
              </w:rPr>
              <w:t xml:space="preserve">格部</w:t>
            </w:r>
            <w:r>
              <w:rPr>
                <w:rFonts w:hint="default" w:ascii="Times New Roman" w:hAnsi="Times New Roman" w:eastAsia="宋体" w:cs="Times New Roman"/>
                <w:color w:val="auto"/>
                <w:sz w:val="21"/>
                <w:szCs w:val="21"/>
                <w:highlight w:val="none"/>
              </w:rPr>
              <w:t xml:space="preserve">分统一按照下列公式计算：</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报价得分=</w:t>
            </w:r>
            <w:r>
              <w:rPr>
                <w:rFonts w:hint="default"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基准价／</w:t>
            </w:r>
            <w:r>
              <w:rPr>
                <w:rFonts w:hint="eastAsia" w:ascii="Times New Roman" w:hAnsi="Times New Roman" w:cs="Times New Roman"/>
                <w:color w:val="auto"/>
                <w:sz w:val="21"/>
                <w:szCs w:val="21"/>
                <w:highlight w:val="none"/>
                <w:lang w:val="en-US" w:eastAsia="zh-CN"/>
              </w:rPr>
              <w:t xml:space="preserve">响应</w:t>
            </w:r>
            <w:r>
              <w:rPr>
                <w:rFonts w:hint="default" w:ascii="Times New Roman" w:hAnsi="Times New Roman" w:eastAsia="宋体" w:cs="Times New Roman"/>
                <w:color w:val="auto"/>
                <w:sz w:val="21"/>
                <w:szCs w:val="21"/>
                <w:highlight w:val="none"/>
              </w:rPr>
              <w:t xml:space="preserve">报价</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%×100。</w:t>
            </w:r>
            <w:r/>
          </w:p>
        </w:tc>
      </w:tr>
      <w:tr>
        <w:trPr>
          <w:cantSplit/>
          <w:trHeight w:val="2108"/>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12</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1.供应商自202</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年1月1日以来</w:t>
            </w:r>
            <w:r>
              <w:rPr>
                <w:rFonts w:hint="default" w:ascii="Times New Roman" w:hAnsi="Times New Roman" w:cs="Times New Roman"/>
                <w:color w:val="auto"/>
                <w:sz w:val="21"/>
                <w:szCs w:val="21"/>
                <w:highlight w:val="none"/>
                <w:lang w:val="en-US" w:eastAsia="zh-CN"/>
              </w:rPr>
              <w:t xml:space="preserve">（以合同签订时间为准）</w:t>
            </w:r>
            <w:r>
              <w:rPr>
                <w:rFonts w:hint="default" w:ascii="Times New Roman" w:hAnsi="Times New Roman" w:eastAsia="宋体" w:cs="Times New Roman"/>
                <w:color w:val="auto"/>
                <w:sz w:val="21"/>
                <w:szCs w:val="21"/>
                <w:highlight w:val="none"/>
                <w:lang w:val="en-US" w:eastAsia="zh-CN"/>
              </w:rPr>
              <w:t xml:space="preserve">完成过类似考古勘查项目业绩，每提供1个得</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分，最高得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en-US" w:eastAsia="zh-CN"/>
              </w:rPr>
              <w:t xml:space="preserve">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2.拟派本项目的项目负责人自202</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年1月1日以来</w:t>
            </w:r>
            <w:r>
              <w:rPr>
                <w:rFonts w:hint="default" w:ascii="Times New Roman" w:hAnsi="Times New Roman" w:cs="Times New Roman"/>
                <w:color w:val="auto"/>
                <w:sz w:val="21"/>
                <w:szCs w:val="21"/>
                <w:highlight w:val="none"/>
                <w:lang w:val="en-US" w:eastAsia="zh-CN"/>
              </w:rPr>
              <w:t xml:space="preserve">（以合同签订时间为准）</w:t>
            </w:r>
            <w:r>
              <w:rPr>
                <w:rFonts w:hint="default" w:ascii="Times New Roman" w:hAnsi="Times New Roman" w:eastAsia="宋体" w:cs="Times New Roman"/>
                <w:color w:val="auto"/>
                <w:sz w:val="21"/>
                <w:szCs w:val="21"/>
                <w:highlight w:val="none"/>
                <w:lang w:val="en-US" w:eastAsia="zh-CN"/>
              </w:rPr>
              <w:t xml:space="preserve">以项目负责人身份完成过类似考古勘查项目业绩，每提供1个得</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分，最高得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lang w:val="en-US" w:eastAsia="zh-CN"/>
              </w:rPr>
              <w:t xml:space="preserve">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w:t>
            </w:r>
            <w:r>
              <w:rPr>
                <w:rFonts w:hint="default" w:ascii="Times New Roman" w:hAnsi="Times New Roman" w:cs="Times New Roman"/>
                <w:color w:val="auto"/>
                <w:sz w:val="21"/>
                <w:szCs w:val="21"/>
                <w:highlight w:val="none"/>
                <w:shd w:val="clear" w:color="auto"/>
                <w:lang w:val="en-US" w:eastAsia="zh-CN"/>
              </w:rPr>
              <w:t xml:space="preserve">【两项业绩可重复计分】</w:t>
            </w:r>
            <w:r>
              <w:rPr>
                <w:rFonts w:hint="default" w:ascii="Times New Roman" w:hAnsi="Times New Roman" w:eastAsia="宋体" w:cs="Times New Roman"/>
                <w:color w:val="auto"/>
                <w:sz w:val="21"/>
                <w:szCs w:val="21"/>
                <w:highlight w:val="none"/>
                <w:lang w:val="en-US" w:eastAsia="zh-CN"/>
              </w:rPr>
              <w:t xml:space="preserve">提供</w:t>
            </w:r>
            <w:r>
              <w:rPr>
                <w:rFonts w:hint="default" w:ascii="Times New Roman" w:hAnsi="Times New Roman" w:cs="Times New Roman"/>
                <w:color w:val="auto"/>
                <w:sz w:val="21"/>
                <w:szCs w:val="21"/>
                <w:highlight w:val="none"/>
                <w:lang w:val="en-US" w:eastAsia="zh-CN"/>
              </w:rPr>
              <w:t xml:space="preserve">中标通知书（成交通知书）、</w:t>
            </w:r>
            <w:r>
              <w:rPr>
                <w:rFonts w:hint="default" w:ascii="Times New Roman" w:hAnsi="Times New Roman" w:eastAsia="宋体" w:cs="Times New Roman"/>
                <w:color w:val="auto"/>
                <w:sz w:val="21"/>
                <w:szCs w:val="21"/>
                <w:highlight w:val="none"/>
                <w:lang w:val="en-US" w:eastAsia="zh-CN"/>
              </w:rPr>
              <w:t xml:space="preserve">合同</w:t>
            </w:r>
            <w:r>
              <w:rPr>
                <w:rFonts w:hint="default" w:ascii="Times New Roman" w:hAnsi="Times New Roman" w:cs="Times New Roman"/>
                <w:color w:val="auto"/>
                <w:sz w:val="21"/>
                <w:szCs w:val="21"/>
                <w:highlight w:val="none"/>
                <w:lang w:val="en-US" w:eastAsia="zh-CN"/>
              </w:rPr>
              <w:t xml:space="preserve">及相关验收证明文件</w:t>
            </w:r>
            <w:r>
              <w:rPr>
                <w:rFonts w:hint="default" w:ascii="Times New Roman" w:hAnsi="Times New Roman" w:eastAsia="宋体" w:cs="Times New Roman"/>
                <w:color w:val="auto"/>
                <w:sz w:val="21"/>
                <w:szCs w:val="21"/>
                <w:highlight w:val="none"/>
                <w:lang w:val="en-US" w:eastAsia="zh-CN"/>
              </w:rPr>
              <w:t xml:space="preserve">扫描上传作为得分依据。</w:t>
            </w:r>
            <w:r/>
          </w:p>
        </w:tc>
      </w:tr>
      <w:tr>
        <w:trPr>
          <w:cantSplit/>
          <w:trHeight w:val="1878"/>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拟派于本项目的项目负责人具备全国考古发掘项目负责人培训（或领队）证书的得2分，具备文物博物类相关专业高级及以上技术职称的得2分，本项最高得4分。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注：提供人员</w:t>
            </w:r>
            <w:r>
              <w:rPr>
                <w:rFonts w:hint="default" w:ascii="Times New Roman" w:hAnsi="Times New Roman"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lang w:val="en-US" w:eastAsia="zh-CN"/>
              </w:rPr>
              <w:t xml:space="preserve">证书及供应商为其缴纳的投标截止时间前三个月（不含投标当月）内任意一个月的社保证明扫描上传作为得分依据。</w:t>
            </w:r>
            <w:r/>
          </w:p>
        </w:tc>
      </w:tr>
      <w:tr>
        <w:trPr>
          <w:cantSplit/>
          <w:trHeight w:val="1805"/>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拟派于本项目的技术负责人（与项目负责人不得为同一人）具备全国考古发掘项目负责人培训（或领队）证书的得2分，具备文物博物类相关专业高级及以上技术职称的得2分，本项最高得4分。</w:t>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注：提供人员</w:t>
            </w:r>
            <w:r>
              <w:rPr>
                <w:rFonts w:hint="default" w:ascii="Times New Roman" w:hAnsi="Times New Roman"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lang w:val="en-US" w:eastAsia="zh-CN"/>
              </w:rPr>
              <w:t xml:space="preserve">证书及供应商为其缴纳的投标截止时间前三个月（不含投标当月）内任意一个月的社保证明扫描上传作为得分依据。</w:t>
            </w:r>
            <w:r/>
          </w:p>
        </w:tc>
      </w:tr>
      <w:tr>
        <w:trPr>
          <w:cantSplit/>
          <w:trHeight w:val="1828"/>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项目组其他成员</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供应商拟投入本项目的其他技术人员中（项目负责人与技术负责人除外）具备全国考古发掘项目负责人培训（或领队）证书的每1人得2分，最高得6分。</w:t>
            </w:r>
            <w:r/>
          </w:p>
          <w:p>
            <w:pPr>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注：提供人员</w:t>
            </w:r>
            <w:r>
              <w:rPr>
                <w:rFonts w:hint="default" w:ascii="Times New Roman" w:hAnsi="Times New Roman" w:cs="Times New Roman"/>
                <w:color w:val="auto"/>
                <w:sz w:val="21"/>
                <w:szCs w:val="21"/>
                <w:highlight w:val="none"/>
                <w:lang w:val="en-US" w:eastAsia="zh-CN"/>
              </w:rPr>
              <w:t xml:space="preserve">相关</w:t>
            </w:r>
            <w:r>
              <w:rPr>
                <w:rFonts w:hint="default" w:ascii="Times New Roman" w:hAnsi="Times New Roman" w:eastAsia="宋体" w:cs="Times New Roman"/>
                <w:color w:val="auto"/>
                <w:sz w:val="21"/>
                <w:szCs w:val="21"/>
                <w:highlight w:val="none"/>
                <w:lang w:val="en-US" w:eastAsia="zh-CN"/>
              </w:rPr>
              <w:t xml:space="preserve">证书及供应商为其缴纳的投标截止时间前三个月（不含投标当月）内任意一个月的社保证明扫描上传作为得分依据。</w:t>
            </w:r>
            <w:r/>
          </w:p>
        </w:tc>
      </w:tr>
      <w:tr>
        <w:trPr>
          <w:cantSplit/>
          <w:trHeight w:val="2333"/>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6</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项目认知</w:t>
            </w:r>
            <w:r/>
          </w:p>
        </w:tc>
        <w:tc>
          <w:tcPr>
            <w:tcBorders>
              <w:top w:val="single" w:color="auto" w:sz="4" w:space="0"/>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依据供应商对现状及项目的理解深刻程度</w:t>
            </w:r>
            <w:r>
              <w:rPr>
                <w:rFonts w:hint="default" w:ascii="Times New Roman" w:hAnsi="Times New Roman" w:cs="Times New Roman"/>
                <w:color w:val="auto"/>
                <w:sz w:val="21"/>
                <w:szCs w:val="21"/>
                <w:highlight w:val="none"/>
                <w:lang w:val="en-US" w:eastAsia="zh-CN"/>
              </w:rPr>
              <w:t xml:space="preserve">进行评分，</w:t>
            </w:r>
            <w:r>
              <w:rPr>
                <w:rFonts w:hint="default" w:ascii="Times New Roman" w:hAnsi="Times New Roman" w:eastAsia="宋体" w:cs="Times New Roman"/>
                <w:color w:val="auto"/>
                <w:sz w:val="21"/>
                <w:szCs w:val="21"/>
                <w:highlight w:val="none"/>
              </w:rPr>
              <w:t xml:space="preserve">从是否对地块考古理解深刻，是否了解</w:t>
            </w:r>
            <w:r>
              <w:rPr>
                <w:rFonts w:hint="default" w:ascii="Times New Roman" w:hAnsi="Times New Roman" w:cs="Times New Roman"/>
                <w:color w:val="auto"/>
                <w:sz w:val="21"/>
                <w:szCs w:val="21"/>
                <w:highlight w:val="none"/>
                <w:lang w:val="en-US" w:eastAsia="zh-CN"/>
              </w:rPr>
              <w:t xml:space="preserve">项目所在地</w:t>
            </w:r>
            <w:r>
              <w:rPr>
                <w:rFonts w:hint="default" w:ascii="Times New Roman" w:hAnsi="Times New Roman" w:cs="Times New Roman"/>
                <w:color w:val="auto"/>
                <w:szCs w:val="21"/>
                <w:highlight w:val="none"/>
                <w:lang w:val="en-US" w:eastAsia="zh-CN"/>
              </w:rPr>
              <w:t xml:space="preserve">文化历史、已出土文物、埋藏特征情况</w:t>
            </w:r>
            <w:r>
              <w:rPr>
                <w:rFonts w:hint="default" w:ascii="Times New Roman" w:hAnsi="Times New Roman" w:eastAsia="宋体" w:cs="Times New Roman"/>
                <w:color w:val="auto"/>
                <w:sz w:val="21"/>
                <w:szCs w:val="21"/>
                <w:highlight w:val="none"/>
              </w:rPr>
              <w:t xml:space="preserve">，是否理解本次地块考古的意义等方面综合评分。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方案完整、合理、可行性好的得10分；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方案较完整、基本合理、基本可行的得</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分；</w:t>
            </w:r>
            <w:r/>
          </w:p>
          <w:p>
            <w:p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方案不太完整、不太合理、不太可行的得</w:t>
            </w:r>
            <w:r>
              <w:rPr>
                <w:rFonts w:hint="default"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分；</w:t>
            </w:r>
            <w:r/>
          </w:p>
          <w:p>
            <w:pPr>
              <w:jc w:val="left"/>
              <w:rPr>
                <w:rFonts w:hint="default" w:ascii="Times New Roman" w:hAnsi="Times New Roman" w:eastAsia="宋体" w:cs="Times New Roman"/>
                <w:b/>
                <w:bCs/>
                <w:color w:val="auto"/>
                <w:sz w:val="21"/>
                <w:szCs w:val="21"/>
                <w:highlight w:val="none"/>
              </w:rPr>
            </w:pPr>
            <w:r>
              <w:rPr>
                <w:rFonts w:hint="default"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未提供的不得分。</w:t>
            </w:r>
            <w:r/>
          </w:p>
        </w:tc>
      </w:tr>
      <w:tr>
        <w:trPr>
          <w:cantSplit/>
          <w:trHeight w:val="3805"/>
        </w:trPr>
        <w:tc>
          <w:tcPr>
            <w:tcBorders>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7</w:t>
            </w:r>
            <w:r/>
          </w:p>
        </w:tc>
        <w:tc>
          <w:tcPr>
            <w:tcBorders>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项目开展的方法措施、方案的可行性以及项目重点、难点分析</w:t>
            </w:r>
            <w:r/>
          </w:p>
        </w:tc>
        <w:tc>
          <w:tcPr>
            <w:tcBorders>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20</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①对项目开展的方法措施的合理性、可行性进行评审：</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具有清晰完整的采购目的达成的脉络分析、明确的措施方法</w:t>
            </w:r>
            <w:r>
              <w:rPr>
                <w:rFonts w:hint="default" w:ascii="Times New Roman" w:hAnsi="Times New Roman" w:cs="Times New Roman"/>
                <w:bCs/>
                <w:color w:val="auto"/>
                <w:sz w:val="21"/>
                <w:szCs w:val="21"/>
                <w:highlight w:val="none"/>
                <w:lang w:val="en-US"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技术、组织、资金等</w:t>
            </w:r>
            <w:r>
              <w:rPr>
                <w:rFonts w:hint="default" w:ascii="Times New Roman" w:hAnsi="Times New Roman" w:cs="Times New Roman"/>
                <w:bCs/>
                <w:color w:val="auto"/>
                <w:sz w:val="21"/>
                <w:szCs w:val="21"/>
                <w:highlight w:val="none"/>
                <w:lang w:val="en-US" w:eastAsia="zh-CN" w:bidi="ar-SA"/>
              </w:rPr>
              <w:t xml:space="preserve">），</w:t>
            </w:r>
            <w:r>
              <w:rPr>
                <w:rFonts w:hint="default" w:ascii="Times New Roman" w:hAnsi="Times New Roman" w:eastAsia="宋体" w:cs="Times New Roman"/>
                <w:bCs/>
                <w:color w:val="auto"/>
                <w:sz w:val="21"/>
                <w:szCs w:val="21"/>
                <w:highlight w:val="none"/>
                <w:lang w:val="en-US" w:eastAsia="zh-CN" w:bidi="ar-SA"/>
              </w:rPr>
              <w:t xml:space="preserve">针对性强且有效可行的得10分；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具有较完整的脉络分析、措施方案稍有欠缺但能有效可行的达成采购目的的得</w:t>
            </w:r>
            <w:r>
              <w:rPr>
                <w:rFonts w:hint="default" w:ascii="Times New Roman" w:hAnsi="Times New Roman" w:cs="Times New Roman"/>
                <w:bCs/>
                <w:color w:val="auto"/>
                <w:sz w:val="21"/>
                <w:szCs w:val="21"/>
                <w:highlight w:val="none"/>
                <w:lang w:val="en-US" w:eastAsia="zh-CN" w:bidi="ar-SA"/>
              </w:rPr>
              <w:t xml:space="preserve">7</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具有主要点的脉络分析、实施方案混乱、条理不清的、可行性弱的得</w:t>
            </w: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未提供不得分。</w:t>
            </w:r>
            <w:r/>
          </w:p>
          <w:p>
            <w:pPr>
              <w:jc w:val="left"/>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②对项目重点难点分析、解决方案的制订进行评审：</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分析全面准确，解决方案详细、合理且有效的得10分；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分析比较全面，方案可行，能基本解决问题的得</w:t>
            </w:r>
            <w:r>
              <w:rPr>
                <w:rFonts w:hint="default" w:ascii="Times New Roman" w:hAnsi="Times New Roman" w:cs="Times New Roman"/>
                <w:bCs/>
                <w:color w:val="auto"/>
                <w:sz w:val="21"/>
                <w:szCs w:val="21"/>
                <w:highlight w:val="none"/>
                <w:lang w:val="en-US" w:eastAsia="zh-CN" w:bidi="ar-SA"/>
              </w:rPr>
              <w:t xml:space="preserve">7</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措施内容不完整，但基本可行，能达到采购目的得</w:t>
            </w: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rPr>
                <w:rFonts w:hint="default" w:ascii="Times New Roman" w:hAnsi="Times New Roman" w:eastAsia="宋体" w:cs="Times New Roman"/>
                <w:color w:val="auto"/>
                <w:sz w:val="21"/>
                <w:szCs w:val="21"/>
                <w:highlight w:val="none"/>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未提供不得分。</w:t>
            </w:r>
            <w:r/>
          </w:p>
        </w:tc>
      </w:tr>
      <w:tr>
        <w:trPr>
          <w:cantSplit/>
          <w:trHeight w:val="2988"/>
        </w:trPr>
        <w:tc>
          <w:tcPr>
            <w:tcBorders>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8</w:t>
            </w:r>
            <w:r/>
          </w:p>
        </w:tc>
        <w:tc>
          <w:tcPr>
            <w:tcBorders>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本项目质量控制保证措施和各阶段进度控制保证措施</w:t>
            </w:r>
            <w:r/>
          </w:p>
        </w:tc>
        <w:tc>
          <w:tcPr>
            <w:tcBorders>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16</w:t>
            </w:r>
            <w:r>
              <w:rPr>
                <w:rFonts w:hint="default" w:ascii="Times New Roman" w:hAnsi="Times New Roman" w:eastAsia="宋体" w:cs="Times New Roman"/>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①对项目的质量控制保证措施的系统性和可行性进行评审：</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措施内容完整且逻辑清晰、科学且严密有效的得</w:t>
            </w:r>
            <w:r>
              <w:rPr>
                <w:rFonts w:hint="default" w:ascii="Times New Roman" w:hAnsi="Times New Roman" w:cs="Times New Roman"/>
                <w:bCs/>
                <w:color w:val="auto"/>
                <w:sz w:val="21"/>
                <w:szCs w:val="21"/>
                <w:highlight w:val="none"/>
                <w:lang w:val="en-US" w:eastAsia="zh-CN" w:bidi="ar-SA"/>
              </w:rPr>
              <w:t xml:space="preserve">8</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措施内容稍有欠缺但逻辑清晰、措施合理且有效的得</w:t>
            </w:r>
            <w:r>
              <w:rPr>
                <w:rFonts w:hint="default" w:ascii="Times New Roman" w:hAnsi="Times New Roman"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内容不完整但基本可行，能达到采购目的得</w:t>
            </w: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未提供的不得分。</w:t>
            </w:r>
            <w:r/>
          </w:p>
          <w:p>
            <w:pPr>
              <w:jc w:val="left"/>
              <w:keepLines w:val="0"/>
              <w:keepNext w:val="0"/>
              <w:pageBreakBefore w:val="0"/>
              <w:spacing w:line="240" w:lineRule="auto"/>
              <w:widowControl w:val="off"/>
              <w:tabs>
                <w:tab w:val="left" w:pos="1200" w:leader="none"/>
              </w:tabs>
              <w:rPr>
                <w:rFonts w:hint="default" w:ascii="Times New Roman" w:hAnsi="Times New Roman" w:cs="Times New Roman"/>
                <w:b/>
                <w:bCs w:val="0"/>
                <w:color w:val="auto"/>
                <w:sz w:val="21"/>
                <w:szCs w:val="21"/>
                <w:highlight w:val="none"/>
                <w:lang w:val="en-US" w:eastAsia="zh-CN" w:bidi="ar-SA"/>
              </w:rPr>
            </w:pPr>
            <w:r>
              <w:rPr>
                <w:rFonts w:hint="default" w:ascii="Times New Roman" w:hAnsi="Times New Roman" w:eastAsia="宋体" w:cs="Times New Roman"/>
                <w:b/>
                <w:bCs w:val="0"/>
                <w:color w:val="auto"/>
                <w:sz w:val="21"/>
                <w:szCs w:val="21"/>
                <w:highlight w:val="none"/>
                <w:lang w:val="en-US" w:eastAsia="zh-CN" w:bidi="ar-SA"/>
              </w:rPr>
              <w:t xml:space="preserve">②对项目的进度控制保证措施的完整性和可行性进行评审</w:t>
            </w:r>
            <w:r>
              <w:rPr>
                <w:rFonts w:hint="default" w:ascii="Times New Roman" w:hAnsi="Times New Roman" w:cs="Times New Roman"/>
                <w:b/>
                <w:bCs w:val="0"/>
                <w:color w:val="auto"/>
                <w:sz w:val="21"/>
                <w:szCs w:val="21"/>
                <w:highlight w:val="none"/>
                <w:lang w:val="en-US" w:eastAsia="zh-CN" w:bidi="ar-SA"/>
              </w:rPr>
              <w:t xml:space="preserve">：</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1.</w:t>
            </w:r>
            <w:r>
              <w:rPr>
                <w:rFonts w:hint="default" w:ascii="Times New Roman" w:hAnsi="Times New Roman" w:eastAsia="宋体" w:cs="Times New Roman"/>
                <w:bCs/>
                <w:color w:val="auto"/>
                <w:sz w:val="21"/>
                <w:szCs w:val="21"/>
                <w:highlight w:val="none"/>
                <w:lang w:val="en-US" w:eastAsia="zh-CN" w:bidi="ar-SA"/>
              </w:rPr>
              <w:t xml:space="preserve">措施内容完整且步序逻辑清晰的得</w:t>
            </w:r>
            <w:r>
              <w:rPr>
                <w:rFonts w:hint="default" w:ascii="Times New Roman" w:hAnsi="Times New Roman" w:cs="Times New Roman"/>
                <w:bCs/>
                <w:color w:val="auto"/>
                <w:sz w:val="21"/>
                <w:szCs w:val="21"/>
                <w:highlight w:val="none"/>
                <w:lang w:val="en-US" w:eastAsia="zh-CN" w:bidi="ar-SA"/>
              </w:rPr>
              <w:t xml:space="preserve">8</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措施内容及重要节点明确且可行的得</w:t>
            </w:r>
            <w:r>
              <w:rPr>
                <w:rFonts w:hint="default" w:ascii="Times New Roman" w:hAnsi="Times New Roman"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措施内容不完整但基本可行，能达到采购目的的得</w:t>
            </w: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jc w:val="left"/>
              <w:keepLines w:val="0"/>
              <w:keepNext w:val="0"/>
              <w:pageBreakBefore w:val="0"/>
              <w:spacing w:line="240" w:lineRule="auto"/>
              <w:widowControl w:val="off"/>
              <w:tabs>
                <w:tab w:val="left" w:pos="1200" w:leader="none"/>
              </w:tabs>
              <w:rPr>
                <w:rFonts w:hint="default" w:ascii="Times New Roman" w:hAnsi="Times New Roman" w:eastAsia="宋体" w:cs="Times New Roman"/>
                <w:color w:val="auto"/>
                <w:sz w:val="21"/>
                <w:szCs w:val="21"/>
                <w:highlight w:val="none"/>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未提供的不得分。</w:t>
            </w:r>
            <w:r/>
          </w:p>
        </w:tc>
      </w:tr>
      <w:tr>
        <w:trPr>
          <w:cantSplit/>
          <w:trHeight w:val="2294"/>
        </w:trPr>
        <w:tc>
          <w:tcPr>
            <w:tcBorders>
              <w:left w:val="single" w:color="auto" w:sz="4" w:space="0"/>
              <w:right w:val="single" w:color="auto" w:sz="4" w:space="0"/>
            </w:tcBorders>
            <w:tcW w:w="78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9</w:t>
            </w:r>
            <w:r/>
          </w:p>
        </w:tc>
        <w:tc>
          <w:tcPr>
            <w:tcBorders>
              <w:left w:val="single" w:color="auto" w:sz="4" w:space="0"/>
              <w:right w:val="single" w:color="auto" w:sz="4" w:space="0"/>
            </w:tcBorders>
            <w:tcW w:w="1547"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安全和应急</w:t>
            </w:r>
            <w:r/>
          </w:p>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管理方案</w:t>
            </w:r>
            <w:r/>
          </w:p>
        </w:tc>
        <w:tc>
          <w:tcPr>
            <w:tcBorders>
              <w:left w:val="single" w:color="auto" w:sz="4" w:space="0"/>
              <w:right w:val="single" w:color="auto" w:sz="4" w:space="0"/>
            </w:tcBorders>
            <w:tcW w:w="795" w:type="dxa"/>
            <w:vAlign w:val="center"/>
            <w:textDirection w:val="lrTb"/>
            <w:noWrap w:val="false"/>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对项目突发事件的预测及分析、处理方案及安全预案的制订进行评审：</w:t>
            </w:r>
            <w:r/>
          </w:p>
          <w:p>
            <w:pPr>
              <w:numPr>
                <w:ilvl w:val="0"/>
                <w:numId w:val="0"/>
              </w:numPr>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t xml:space="preserve">1.预测及分析全面准确、处理方案及安全预案详细、合理且有效得</w:t>
            </w:r>
            <w:r>
              <w:rPr>
                <w:rFonts w:hint="default" w:ascii="Times New Roman" w:hAnsi="Times New Roman" w:cs="Times New Roman"/>
                <w:bCs/>
                <w:color w:val="auto"/>
                <w:sz w:val="21"/>
                <w:szCs w:val="21"/>
                <w:highlight w:val="none"/>
                <w:lang w:val="en-US" w:eastAsia="zh-CN" w:bidi="ar-SA"/>
              </w:rPr>
              <w:t xml:space="preserve">8</w:t>
            </w:r>
            <w:r>
              <w:rPr>
                <w:rFonts w:hint="default" w:ascii="Times New Roman" w:hAnsi="Times New Roman" w:eastAsia="宋体" w:cs="Times New Roman"/>
                <w:bCs/>
                <w:color w:val="auto"/>
                <w:sz w:val="21"/>
                <w:szCs w:val="21"/>
                <w:highlight w:val="none"/>
                <w:lang w:val="en-US" w:eastAsia="zh-CN" w:bidi="ar-SA"/>
              </w:rPr>
              <w:t xml:space="preserve">分；</w:t>
            </w:r>
            <w:r>
              <w:rPr>
                <w:rFonts w:hint="default" w:ascii="Times New Roman" w:hAnsi="Times New Roman" w:cs="Times New Roman"/>
                <w:bCs/>
                <w:color w:val="auto"/>
                <w:sz w:val="21"/>
                <w:szCs w:val="21"/>
                <w:highlight w:val="none"/>
                <w:lang w:val="en-US" w:eastAsia="zh-CN" w:bidi="ar-SA"/>
              </w:rPr>
              <w:t xml:space="preserve">2.</w:t>
            </w:r>
            <w:r>
              <w:rPr>
                <w:rFonts w:hint="default" w:ascii="Times New Roman" w:hAnsi="Times New Roman" w:eastAsia="宋体" w:cs="Times New Roman"/>
                <w:bCs/>
                <w:color w:val="auto"/>
                <w:sz w:val="21"/>
                <w:szCs w:val="21"/>
                <w:highlight w:val="none"/>
                <w:lang w:val="en-US" w:eastAsia="zh-CN" w:bidi="ar-SA"/>
              </w:rPr>
              <w:t xml:space="preserve">预测及分析较全面，准确性较强、处理方案及安全预案可行、能基本避免风险的得</w:t>
            </w:r>
            <w:r>
              <w:rPr>
                <w:rFonts w:hint="default" w:ascii="Times New Roman" w:hAnsi="Times New Roman" w:cs="Times New Roman"/>
                <w:bCs/>
                <w:color w:val="auto"/>
                <w:sz w:val="21"/>
                <w:szCs w:val="21"/>
                <w:highlight w:val="none"/>
                <w:lang w:val="en-US" w:eastAsia="zh-CN" w:bidi="ar-SA"/>
              </w:rPr>
              <w:t xml:space="preserve">5</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ind w:left="0" w:firstLine="0"/>
              <w:jc w:val="left"/>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.预测及分析不到位，处理方案及安全预案可行，但仍存在一定风险的得</w:t>
            </w:r>
            <w:r>
              <w:rPr>
                <w:rFonts w:hint="default" w:ascii="Times New Roman" w:hAnsi="Times New Roman" w:cs="Times New Roman"/>
                <w:bCs/>
                <w:color w:val="auto"/>
                <w:sz w:val="21"/>
                <w:szCs w:val="21"/>
                <w:highlight w:val="none"/>
                <w:lang w:val="en-US" w:eastAsia="zh-CN" w:bidi="ar-SA"/>
              </w:rPr>
              <w:t xml:space="preserve">3</w:t>
            </w:r>
            <w:r>
              <w:rPr>
                <w:rFonts w:hint="default" w:ascii="Times New Roman" w:hAnsi="Times New Roman" w:eastAsia="宋体" w:cs="Times New Roman"/>
                <w:bCs/>
                <w:color w:val="auto"/>
                <w:sz w:val="21"/>
                <w:szCs w:val="21"/>
                <w:highlight w:val="none"/>
                <w:lang w:val="en-US" w:eastAsia="zh-CN" w:bidi="ar-SA"/>
              </w:rPr>
              <w:t xml:space="preserve">分；</w:t>
            </w:r>
            <w:r/>
          </w:p>
          <w:p>
            <w:pPr>
              <w:numPr>
                <w:ilvl w:val="0"/>
                <w:numId w:val="0"/>
              </w:numPr>
              <w:ind w:left="0" w:firstLine="0"/>
              <w:jc w:val="left"/>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bCs/>
                <w:color w:val="auto"/>
                <w:sz w:val="21"/>
                <w:szCs w:val="21"/>
                <w:highlight w:val="none"/>
                <w:lang w:val="en-US" w:eastAsia="zh-CN" w:bidi="ar-SA"/>
              </w:rPr>
              <w:t xml:space="preserve">4.</w:t>
            </w:r>
            <w:r>
              <w:rPr>
                <w:rFonts w:hint="default" w:ascii="Times New Roman" w:hAnsi="Times New Roman" w:eastAsia="宋体" w:cs="Times New Roman"/>
                <w:bCs/>
                <w:color w:val="auto"/>
                <w:sz w:val="21"/>
                <w:szCs w:val="21"/>
                <w:highlight w:val="none"/>
                <w:lang w:val="en-US" w:eastAsia="zh-CN" w:bidi="ar-SA"/>
              </w:rPr>
              <w:t xml:space="preserve">未提供的不得分。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以上评标办法中所涉及到的相关业绩证明材料、企业及人员证书等，</w:t>
      </w:r>
      <w:r>
        <w:rPr>
          <w:rFonts w:hint="eastAsia" w:ascii="宋体" w:hAnsi="宋体" w:cs="宋体"/>
          <w:b/>
          <w:bCs/>
          <w:color w:val="auto"/>
          <w:sz w:val="24"/>
          <w:szCs w:val="24"/>
          <w:highlight w:val="none"/>
          <w:lang w:val="en-US" w:eastAsia="zh-CN"/>
        </w:rPr>
        <w:t xml:space="preserve">采购人有权</w:t>
      </w:r>
      <w:r>
        <w:rPr>
          <w:rFonts w:hint="eastAsia" w:ascii="宋体" w:hAnsi="宋体" w:eastAsia="宋体" w:cs="宋体"/>
          <w:b/>
          <w:bCs/>
          <w:color w:val="auto"/>
          <w:sz w:val="24"/>
          <w:szCs w:val="24"/>
          <w:highlight w:val="none"/>
        </w:rPr>
        <w:t xml:space="preserve">在成交后</w:t>
      </w:r>
      <w:r>
        <w:rPr>
          <w:rFonts w:hint="eastAsia" w:ascii="宋体" w:hAnsi="宋体" w:cs="宋体"/>
          <w:b/>
          <w:bCs/>
          <w:strike w:val="0"/>
          <w:color w:val="auto"/>
          <w:sz w:val="24"/>
          <w:szCs w:val="24"/>
          <w:highlight w:val="none"/>
          <w:lang w:val="en-US" w:eastAsia="zh-CN"/>
        </w:rPr>
        <w:t xml:space="preserve">要求成交供应商</w:t>
      </w:r>
      <w:r>
        <w:rPr>
          <w:rFonts w:hint="eastAsia" w:ascii="宋体" w:hAnsi="宋体" w:eastAsia="宋体" w:cs="宋体"/>
          <w:b/>
          <w:bCs/>
          <w:color w:val="auto"/>
          <w:sz w:val="24"/>
          <w:szCs w:val="24"/>
          <w:highlight w:val="none"/>
        </w:rPr>
        <w:t xml:space="preserve">提供所有原件核查。若不能按</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rPr>
        <w:t xml:space="preserve">提供或提供虚假材料的，采购人有权取消其成交资格。</w:t>
      </w:r>
      <w:r/>
    </w:p>
    <w:p>
      <w:pPr>
        <w:jc w:val="center"/>
        <w:rPr>
          <w:rFonts w:hint="eastAsia" w:ascii="宋体" w:hAnsi="宋体" w:eastAsia="宋体" w:cs="宋体"/>
          <w:color w:val="auto"/>
          <w:sz w:val="44"/>
          <w:szCs w:val="44"/>
          <w:highlight w:val="none"/>
        </w:rPr>
        <w:outlineLvl w:val="0"/>
      </w:pPr>
      <w:r/>
      <w:bookmarkStart w:id="189" w:name="_Toc28376"/>
      <w:r/>
      <w:r/>
    </w:p>
    <w:p>
      <w:pPr>
        <w:pStyle w:val="937"/>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highlight w:val="none"/>
        </w:rPr>
      </w:pPr>
      <w:r>
        <w:rPr>
          <w:rFonts w:hint="eastAsia"/>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89"/>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0" w:name="_Toc120614282"/>
      <w:r/>
      <w:bookmarkEnd w:id="190"/>
      <w:r/>
      <w:bookmarkStart w:id="191" w:name="_Hlt26671244"/>
      <w:r/>
      <w:bookmarkEnd w:id="191"/>
      <w:r/>
      <w:bookmarkStart w:id="192" w:name="_Hlt26955039"/>
      <w:r/>
      <w:bookmarkEnd w:id="192"/>
      <w:r/>
      <w:bookmarkStart w:id="193" w:name="_Toc49090576"/>
      <w:r/>
      <w:bookmarkEnd w:id="193"/>
      <w:r/>
      <w:bookmarkStart w:id="194" w:name="_Toc26554094"/>
      <w:r/>
      <w:bookmarkEnd w:id="194"/>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法人或者其他组织的营业执照等证明文件或者自然人的身份证明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有依法缴纳税收和社会保障资金的良好记录：</w:t>
      </w:r>
      <w:r>
        <w:rPr>
          <w:rFonts w:hint="eastAsia" w:ascii="宋体" w:hAnsi="宋体" w:eastAsia="宋体" w:cs="宋体"/>
          <w:color w:val="auto"/>
          <w:sz w:val="24"/>
          <w:szCs w:val="24"/>
          <w:highlight w:val="none"/>
          <w:u w:val="single"/>
        </w:rPr>
        <w:t xml:space="preserve">提供供应商近六个月中任意一个月份（不含磋商响应文件递交当月）依法缴纳税收及缴纳社会保障资金的证明材料。磋商供应商依法享受缓缴、免缴税收、社会保障资金的提供证明材料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四、具备履行合同所必需的设备和专业技术能力的书面声明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七、法人授权书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strike w:val="0"/>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报价明细表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九、中小企业声明函或监狱企业、残疾人福利性单位的证明资料（如有）</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十、商务及技术要求响应及偏离表；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响应</w:t>
      </w:r>
      <w:r>
        <w:rPr>
          <w:rFonts w:hint="eastAsia" w:ascii="宋体" w:hAnsi="宋体" w:eastAsia="宋体" w:cs="宋体"/>
          <w:color w:val="auto"/>
          <w:sz w:val="24"/>
          <w:szCs w:val="24"/>
          <w:highlight w:val="none"/>
          <w:u w:val="single"/>
        </w:rPr>
        <w:t xml:space="preserve">承诺书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、按照评分办法应当递交的其他资料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、质疑函范本</w: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一、法人或者其他组织的营业执照等证明文件或者自然人的身份证明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二、供应商</w:t>
      </w:r>
      <w:r>
        <w:rPr>
          <w:rFonts w:hint="eastAsia" w:ascii="宋体" w:hAnsi="宋体" w:eastAsia="宋体" w:cs="宋体"/>
          <w:color w:val="auto"/>
          <w:sz w:val="32"/>
          <w:szCs w:val="32"/>
          <w:highlight w:val="none"/>
          <w:u w:val="single"/>
          <w:lang w:val="en-US" w:eastAsia="zh-CN"/>
        </w:rPr>
        <w:t xml:space="preserve">近六个月中</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提供近六个月中任意一个月份（不含磋商响应文件递交当月）依法缴纳税收及缴纳社会保障资金的证明材料。供应商依法享受缓缴、免缴税收、社会保障资金的提供证明材料。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五、参加政府采购活动前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六、特定资格要求的证明文件</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供应商须具有国家文物局颁发的考古发掘资质；</w:t>
      </w:r>
      <w:r/>
    </w:p>
    <w:p>
      <w:pPr>
        <w:pStyle w:val="934"/>
        <w:rPr>
          <w:rFonts w:hint="eastAsia"/>
          <w:color w:val="auto"/>
          <w:highlight w:val="none"/>
          <w:lang w:val="en-US" w:eastAsia="zh-CN"/>
        </w:rPr>
      </w:pPr>
      <w:r>
        <w:rPr>
          <w:rFonts w:hint="eastAsia"/>
          <w:color w:val="auto"/>
          <w:highlight w:val="none"/>
          <w:lang w:val="en-US" w:eastAsia="zh-CN"/>
        </w:rPr>
      </w:r>
      <w:r/>
    </w:p>
    <w:p>
      <w:pPr>
        <w:pStyle w:val="9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iCs/>
          <w:color w:val="auto"/>
          <w:sz w:val="32"/>
          <w:szCs w:val="32"/>
          <w:highlight w:val="none"/>
          <w:u w:val="single"/>
        </w:rPr>
      </w:pPr>
      <w:r/>
      <w:bookmarkStart w:id="195" w:name="_Toc120614284"/>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6"/>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1"/>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5"/>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bookmarkEnd w:id="195"/>
      <w:r/>
      <w:r/>
    </w:p>
    <w:p>
      <w:pPr>
        <w:jc w:val="center"/>
        <w:spacing w:line="400" w:lineRule="exact"/>
        <w:rPr>
          <w:rFonts w:hint="eastAsia" w:ascii="宋体" w:hAnsi="宋体" w:eastAsia="宋体" w:cs="宋体"/>
          <w:b/>
          <w:color w:val="auto"/>
          <w:sz w:val="44"/>
          <w:highlight w:val="none"/>
        </w:rPr>
      </w:pPr>
      <w:r/>
      <w:bookmarkStart w:id="196" w:name="_Hlt26955070"/>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__________________（</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名称）：</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本授权声明：（</w:t>
      </w:r>
      <w:r>
        <w:rPr>
          <w:rFonts w:hint="eastAsia" w:ascii="宋体" w:hAnsi="宋体" w:cs="宋体"/>
          <w:color w:val="auto"/>
          <w:sz w:val="24"/>
          <w:highlight w:val="none"/>
          <w:lang w:val="en-US" w:eastAsia="zh-CN"/>
        </w:rPr>
        <w:t xml:space="preserve">响应供应商</w:t>
      </w:r>
      <w:r>
        <w:rPr>
          <w:rFonts w:hint="eastAsia" w:ascii="宋体" w:hAnsi="宋体" w:eastAsia="宋体" w:cs="宋体"/>
          <w:color w:val="auto"/>
          <w:sz w:val="24"/>
          <w:highlight w:val="none"/>
        </w:rPr>
        <w:t xml:space="preserve">名称）（法定代表人姓名、职务）授权（被委托代理人姓名、职务）为我方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活动的合法代表，以我方名义全权处理该项目有关</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、签订合同以及执行合同等一切事宜。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highlight w:val="none"/>
        </w:rPr>
        <w:t xml:space="preserve">签字：</w:t>
      </w:r>
      <w:r/>
    </w:p>
    <w:p>
      <w:pPr>
        <w:ind w:firstLine="48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响应供应商</w:t>
      </w:r>
      <w:r>
        <w:rPr>
          <w:rFonts w:hint="eastAsia" w:ascii="宋体" w:hAnsi="宋体" w:eastAsia="宋体" w:cs="宋体"/>
          <w:color w:val="auto"/>
          <w:sz w:val="24"/>
          <w:highlight w:val="none"/>
        </w:rPr>
        <w:t xml:space="preserve">名称：（盖章）</w:t>
      </w:r>
      <w:r/>
    </w:p>
    <w:p>
      <w:pPr>
        <w:ind w:firstLine="480"/>
        <w:spacing w:line="4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日    期：</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一、上述证明文件在</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文件中附有代理人身份证复印件（身份证两面均应复印）时才能生效；</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文件均由</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法定代表人签字的,</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文件中可不提供该附件的内容。</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三、扫描件与复印件具有同等效力。</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 ：</w:t>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23"/>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身份证正面复印件</w:t>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469" w:type="dxa"/>
            <w:vAlign w:val="top"/>
            <w:textDirection w:val="lrTb"/>
            <w:noWrap w:val="false"/>
          </w:tcPr>
          <w:p>
            <w:pPr>
              <w:pStyle w:val="925"/>
              <w:ind w:left="621"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vAlign w:val="top"/>
            <w:textDirection w:val="lrTb"/>
            <w:noWrap w:val="false"/>
          </w:tcPr>
          <w:p>
            <w:pPr>
              <w:pStyle w:val="925"/>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pStyle w:val="9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被委托</w:t>
            </w:r>
            <w:r>
              <w:rPr>
                <w:rFonts w:hint="eastAsia" w:ascii="宋体" w:hAnsi="宋体" w:eastAsia="宋体" w:cs="宋体"/>
                <w:color w:val="auto"/>
                <w:sz w:val="24"/>
                <w:szCs w:val="22"/>
                <w:highlight w:val="none"/>
              </w:rPr>
              <w:t xml:space="preserve">代理人</w:t>
            </w:r>
            <w:r>
              <w:rPr>
                <w:rFonts w:hint="eastAsia" w:ascii="宋体" w:hAnsi="宋体" w:eastAsia="宋体" w:cs="宋体"/>
                <w:color w:val="auto"/>
                <w:sz w:val="24"/>
                <w:szCs w:val="24"/>
                <w:highlight w:val="none"/>
              </w:rPr>
              <w:t xml:space="preserve">身份证反面复印件</w:t>
            </w:r>
            <w:r/>
          </w:p>
          <w:p>
            <w:pPr>
              <w:pStyle w:val="925"/>
              <w:ind w:firstLine="162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color w:val="auto"/>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致：江苏建泰工程项目管理有限公司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7"/>
        <w:rPr>
          <w:rFonts w:hint="eastAsia"/>
          <w:color w:val="auto"/>
          <w:highlight w:val="none"/>
        </w:rPr>
      </w:pPr>
      <w:r>
        <w:rPr>
          <w:rFonts w:hint="eastAsia"/>
          <w:color w:val="auto"/>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933"/>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933"/>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933"/>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92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tcW w:w="238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tcW w:w="239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tcW w:w="3568"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tcW w:w="238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tcW w:w="239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tcW w:w="3568"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0" b="0"/>
                      <wp:docPr id="4" name=""/>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tcW w:w="2386"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tcW w:w="5975" w:type="dxa"/>
            <w:vAlign w:val="center"/>
            <w:textDirection w:val="lrTb"/>
            <w:noWrap w:val="false"/>
          </w:tcPr>
          <w:p>
            <w:pPr>
              <w:pStyle w:val="933"/>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w:t>
      </w:r>
      <w:r>
        <w:rPr>
          <w:rFonts w:hint="eastAsia" w:ascii="宋体" w:hAnsi="宋体" w:cs="宋体"/>
          <w:b/>
          <w:bCs/>
          <w:color w:val="auto"/>
          <w:sz w:val="32"/>
          <w:szCs w:val="32"/>
          <w:highlight w:val="none"/>
          <w:lang w:val="en-US" w:eastAsia="zh-CN"/>
        </w:rPr>
        <w:t xml:space="preserve">服务</w:t>
      </w:r>
      <w:r>
        <w:rPr>
          <w:rFonts w:hint="eastAsia" w:ascii="宋体" w:hAnsi="宋体" w:eastAsia="宋体" w:cs="宋体"/>
          <w:b/>
          <w:bCs/>
          <w:color w:val="auto"/>
          <w:sz w:val="32"/>
          <w:szCs w:val="32"/>
          <w:highlight w:val="none"/>
        </w:rPr>
        <w:t xml:space="preserve">）</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4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（备注：1、参照《关于印发中小企业划型标准规定的通知》（工信部联企业【2011】300号）文件，</w:t>
      </w:r>
      <w:bookmarkStart w:id="197" w:name="OLE_LINK6"/>
      <w:r>
        <w:rPr>
          <w:rFonts w:hint="eastAsia" w:ascii="宋体" w:hAnsi="宋体" w:eastAsia="宋体" w:cs="宋体"/>
          <w:color w:val="auto"/>
          <w:sz w:val="24"/>
          <w:szCs w:val="24"/>
          <w:highlight w:val="none"/>
        </w:rPr>
        <w:t xml:space="preserve">本项目所属行业为</w:t>
      </w:r>
      <w:r>
        <w:rPr>
          <w:rFonts w:hint="eastAsia" w:ascii="宋体" w:hAnsi="宋体" w:eastAsia="宋体" w:cs="宋体"/>
          <w:b/>
          <w:bCs/>
          <w:color w:val="auto"/>
          <w:sz w:val="24"/>
          <w:szCs w:val="24"/>
          <w:highlight w:val="none"/>
          <w:u w:val="single"/>
        </w:rPr>
        <w:t xml:space="preserve">其他未列明行业</w:t>
      </w:r>
      <w:bookmarkEnd w:id="197"/>
      <w:r>
        <w:rPr>
          <w:rFonts w:hint="eastAsia" w:ascii="宋体" w:hAnsi="宋体" w:eastAsia="宋体" w:cs="宋体"/>
          <w:color w:val="auto"/>
          <w:sz w:val="24"/>
          <w:szCs w:val="24"/>
          <w:highlight w:val="none"/>
        </w:rPr>
        <w:t xml:space="preserve">。2、请如实填写属于中型企业或小型企业或微型企业。3、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 </w:t>
      </w:r>
      <w:r>
        <w:rPr>
          <w:color w:val="auto"/>
          <w:highlight w:val="none"/>
        </w:rPr>
        <w:br w:type="page" w:clear="all"/>
      </w: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  是</w:t>
      </w:r>
      <w:r>
        <w:rPr>
          <w:rFonts w:hint="eastAsia" w:ascii="宋体" w:hAnsi="宋体" w:eastAsia="宋体" w:cs="宋体"/>
          <w:color w:val="auto"/>
          <w:sz w:val="24"/>
          <w:szCs w:val="24"/>
          <w:highlight w:val="none"/>
          <w:u w:val="single"/>
        </w:rPr>
        <w:t xml:space="preserve">/否  为</w:t>
      </w:r>
      <w:r>
        <w:rPr>
          <w:rFonts w:hint="eastAsia" w:ascii="宋体" w:hAnsi="宋体" w:eastAsia="宋体" w:cs="宋体"/>
          <w:color w:val="auto"/>
          <w:sz w:val="24"/>
          <w:szCs w:val="24"/>
          <w:highlight w:val="none"/>
        </w:rPr>
        <w:t xml:space="preserve">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44"/>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r>
      <w:r/>
    </w:p>
    <w:p>
      <w:pPr>
        <w:pStyle w:val="944"/>
        <w:jc w:val="center"/>
        <w:rPr>
          <w:rFonts w:hint="eastAsia" w:ascii="宋体" w:hAnsi="宋体" w:eastAsia="宋体" w:cs="宋体"/>
          <w:b/>
          <w:bCs/>
          <w:color w:val="auto"/>
          <w:sz w:val="32"/>
          <w:szCs w:val="32"/>
          <w:highlight w:val="none"/>
          <w:lang w:val="en-US" w:eastAsia="en-US" w:bidi="ar-SA"/>
        </w:rPr>
      </w:pPr>
      <w:r>
        <w:rPr>
          <w:rFonts w:hint="eastAsia" w:ascii="宋体" w:hAnsi="宋体" w:eastAsia="宋体" w:cs="宋体"/>
          <w:b/>
          <w:bCs/>
          <w:color w:val="auto"/>
          <w:sz w:val="32"/>
          <w:szCs w:val="32"/>
          <w:highlight w:val="none"/>
          <w:lang w:val="en-US" w:eastAsia="en-US" w:bidi="ar-SA"/>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4"/>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lang w:val="en-US" w:eastAsia="zh-CN" w:bidi="ar-SA"/>
        </w:rPr>
        <w:t xml:space="preserve">十、</w:t>
      </w:r>
      <w:bookmarkEnd w:id="196"/>
      <w:r/>
      <w:bookmarkStart w:id="198" w:name="_格式2__法定代表人授权书"/>
      <w:r>
        <w:rPr>
          <w:rFonts w:hint="eastAsia" w:ascii="宋体" w:hAnsi="宋体" w:eastAsia="宋体" w:cs="宋体"/>
          <w:b/>
          <w:color w:val="auto"/>
          <w:sz w:val="30"/>
          <w:szCs w:val="30"/>
          <w:highlight w:val="none"/>
        </w:rPr>
        <w:t xml:space="preserve">商务及技术要求响应及偏离表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923"/>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rPr>
          <w:rFonts w:hint="eastAsia" w:ascii="宋体" w:hAnsi="宋体" w:eastAsia="宋体" w:cs="宋体"/>
          <w:b/>
          <w:bCs/>
          <w:color w:val="auto"/>
          <w:sz w:val="24"/>
          <w:highlight w:val="none"/>
          <w:lang w:val="en-US" w:eastAsia="zh-CN"/>
        </w:rPr>
        <w:t xml:space="preserve">未注明或未填写任何内容的，视为全部响应。</w:t>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45"/>
        <w:spacing w:before="0" w:beforeAutospacing="0" w:after="0" w:afterAutospacing="0"/>
        <w:rPr>
          <w:rFonts w:hint="eastAsia" w:ascii="宋体" w:hAnsi="宋体" w:eastAsia="宋体" w:cs="宋体"/>
          <w:color w:val="auto"/>
          <w:szCs w:val="24"/>
          <w:highlight w:val="none"/>
        </w:rPr>
      </w:pPr>
      <w:r>
        <w:rPr>
          <w:rFonts w:hint="eastAsia" w:cs="宋体"/>
          <w:color w:val="auto"/>
          <w:szCs w:val="24"/>
          <w:highlight w:val="none"/>
          <w:lang w:val="en-US" w:eastAsia="zh-CN"/>
        </w:rPr>
        <w:t xml:space="preserve">响应单位</w:t>
      </w:r>
      <w:r>
        <w:rPr>
          <w:rFonts w:hint="eastAsia" w:ascii="宋体" w:hAnsi="宋体" w:eastAsia="宋体" w:cs="宋体"/>
          <w:color w:val="auto"/>
          <w:szCs w:val="24"/>
          <w:highlight w:val="none"/>
        </w:rPr>
        <w:t xml:space="preserve">（</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94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响应</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）所提供的服务不低于采购文件要求的标准。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.对磋商文件中所提及的</w:t>
      </w:r>
      <w:r>
        <w:rPr>
          <w:rFonts w:hint="eastAsia" w:ascii="宋体" w:hAnsi="宋体" w:eastAsia="宋体" w:cs="宋体"/>
          <w:color w:val="auto"/>
          <w:sz w:val="24"/>
          <w:szCs w:val="24"/>
          <w:highlight w:val="none"/>
          <w:lang w:val="en-US" w:eastAsia="zh-CN"/>
        </w:rPr>
        <w:t xml:space="preserve">质量要求、服务要求、验收要求、售后服务要求等</w:t>
      </w:r>
      <w:r>
        <w:rPr>
          <w:rFonts w:hint="eastAsia" w:ascii="宋体" w:hAnsi="宋体" w:eastAsia="宋体" w:cs="宋体"/>
          <w:color w:val="auto"/>
          <w:sz w:val="24"/>
          <w:szCs w:val="24"/>
          <w:highlight w:val="none"/>
        </w:rPr>
        <w:t xml:space="preserve">条款，本公司（单位）承诺将严格按照条款要求执行。</w:t>
      </w:r>
      <w:r/>
    </w:p>
    <w:p>
      <w:pPr>
        <w:pStyle w:val="946"/>
        <w:ind w:right="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lang w:val="en-US" w:eastAsia="zh-CN"/>
        </w:rPr>
        <w:t xml:space="preserve">承诺，如</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，将</w:t>
      </w:r>
      <w:r>
        <w:rPr>
          <w:rFonts w:hint="eastAsia" w:ascii="宋体" w:hAnsi="宋体" w:cs="宋体"/>
          <w:color w:val="auto"/>
          <w:sz w:val="24"/>
          <w:szCs w:val="24"/>
          <w:highlight w:val="none"/>
          <w:lang w:val="en-US" w:eastAsia="zh-CN"/>
        </w:rPr>
        <w:t xml:space="preserve">按要求提供服务。</w:t>
      </w:r>
      <w:r/>
    </w:p>
    <w:p>
      <w:pPr>
        <w:pStyle w:val="946"/>
        <w:ind w:right="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.其他承诺（供应商可自行增加）：……</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、按照评分办法应当递交的其他资料</w:t>
      </w:r>
      <w:bookmarkEnd w:id="198"/>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、质疑函范本</w:t>
      </w:r>
      <w:r/>
    </w:p>
    <w:p>
      <w:pPr>
        <w:spacing w:before="287"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联系人：联系电话：</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地址：邮编：</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              包号：</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3.质疑供应商对项目的某一分包进行质疑，质疑函中应列明具体分包号。</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7.按该表格填写，一式两份，并将该函和相关证据盖公章在规定的时间内分别送达采购人和采购代理机构。</w:t>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highlight w:val="none"/>
        </w:rPr>
      </w:pPr>
      <w:r>
        <w:rPr>
          <w:highlight w:val="none"/>
        </w:rPr>
      </w:r>
      <w:r/>
    </w:p>
    <w:sectPr>
      <w:footerReference w:type="default" r:id="rId12"/>
      <w:footnotePr/>
      <w:endnotePr/>
      <w:type w:val="nextPage"/>
      <w:pgSz w:w="11906" w:h="16838" w:orient="portrait"/>
      <w:pgMar w:top="1429" w:right="1633" w:bottom="1440" w:left="1582"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Times New Roman">
    <w:panose1 w:val="020206030504050203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SimSun">
    <w:panose1 w:val="02010600030101010101"/>
  </w:font>
  <w:font w:name="宋体">
    <w:panose1 w:val="02010600030101010101"/>
  </w:font>
  <w:font w:name="仿宋">
    <w:panose1 w:val="02010609060101010101"/>
  </w:font>
  <w:font w:name="等线 Light">
    <w:panose1 w:val="02010600030101010101"/>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矩形 29086"/>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a:effectLst/>
                    </wps:spPr>
                    <wps:txbx>
                      <w:txbxContent>
                        <w:p>
                          <w:pPr>
                            <w:pStyle w:val="930"/>
                            <w:rPr>
                              <w:rFonts w:hint="eastAsia"/>
                            </w:rPr>
                          </w:pPr>
                          <w:r>
                            <w:rPr>
                              <w:rFonts w:hint="eastAsia"/>
                            </w:rPr>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9.0pt;mso-wrap-distance-top:0.0pt;mso-wrap-distance-right:9.0pt;mso-wrap-distance-bottom:0.0pt;v-text-anchor:top;visibility:visible;" filled="f" stroked="f">
              <v:textbox inset="0,0,0,0">
                <w:txbxContent>
                  <w:p>
                    <w:pPr>
                      <w:pStyle w:val="930"/>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矩形 2908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930"/>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1" o:spid="_x0000_s1" o:spt="1" type="#_x0000_t1" style="position:absolute;z-index:251660288;o:allowoverlap:true;o:allowincell:true;mso-position-horizontal-relative:margin;margin-left:215.5pt;mso-position-horizontal:absolute;mso-position-vertical-relative:text;margin-top:-27.3pt;mso-position-vertical:absolute;width:144.0pt;height:144.0pt;mso-wrap-distance-left:9.0pt;mso-wrap-distance-top:0.0pt;mso-wrap-distance-right:9.0pt;mso-wrap-distance-bottom:0.0pt;v-text-anchor:top;visibility:visible;" filled="f" stroked="f">
              <v:textbox inset="0,0,0,0">
                <w:txbxContent>
                  <w:p>
                    <w:pPr>
                      <w:pStyle w:val="930"/>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矩形 29088"/>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noFill/>
                      <a:ln>
                        <a:noFill/>
                      </a:ln>
                      <a:effectLst/>
                    </wps:spPr>
                    <wps:txbx>
                      <w:txbxContent>
                        <w:p>
                          <w:pPr>
                            <w:pStyle w:val="930"/>
                            <w:rPr>
                              <w:rFonts w:hint="eastAsia"/>
                            </w:rPr>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9.0pt;mso-wrap-distance-top:0.0pt;mso-wrap-distance-right:9.0pt;mso-wrap-distance-bottom:0.0pt;v-text-anchor:top;visibility:visible;" filled="f" stroked="f">
              <v:textbox inset="0,0,0,0">
                <w:txbxContent>
                  <w:p>
                    <w:pPr>
                      <w:pStyle w:val="930"/>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0"/>
    <w:next w:val="920"/>
    <w:link w:val="747"/>
    <w:uiPriority w:val="9"/>
    <w:qFormat/>
    <w:pPr>
      <w:keepLines/>
      <w:keepNext/>
      <w:spacing w:before="480" w:after="200"/>
      <w:outlineLvl w:val="0"/>
    </w:pPr>
    <w:rPr>
      <w:rFonts w:ascii="Arial" w:hAnsi="Arial" w:eastAsia="Arial" w:cs="Arial"/>
      <w:sz w:val="40"/>
      <w:szCs w:val="40"/>
    </w:rPr>
  </w:style>
  <w:style w:type="character" w:styleId="747">
    <w:name w:val="Heading 1 Char"/>
    <w:basedOn w:val="922"/>
    <w:link w:val="746"/>
    <w:uiPriority w:val="9"/>
    <w:rPr>
      <w:rFonts w:ascii="Arial" w:hAnsi="Arial" w:eastAsia="Arial" w:cs="Arial"/>
      <w:sz w:val="40"/>
      <w:szCs w:val="40"/>
    </w:rPr>
  </w:style>
  <w:style w:type="paragraph" w:styleId="748">
    <w:name w:val="Heading 2"/>
    <w:basedOn w:val="920"/>
    <w:next w:val="920"/>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basedOn w:val="922"/>
    <w:link w:val="748"/>
    <w:uiPriority w:val="9"/>
    <w:rPr>
      <w:rFonts w:ascii="Arial" w:hAnsi="Arial" w:eastAsia="Arial" w:cs="Arial"/>
      <w:sz w:val="34"/>
    </w:rPr>
  </w:style>
  <w:style w:type="paragraph" w:styleId="750">
    <w:name w:val="Heading 3"/>
    <w:basedOn w:val="920"/>
    <w:next w:val="920"/>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basedOn w:val="922"/>
    <w:link w:val="750"/>
    <w:uiPriority w:val="9"/>
    <w:rPr>
      <w:rFonts w:ascii="Arial" w:hAnsi="Arial" w:eastAsia="Arial" w:cs="Arial"/>
      <w:sz w:val="30"/>
      <w:szCs w:val="30"/>
    </w:rPr>
  </w:style>
  <w:style w:type="character" w:styleId="752">
    <w:name w:val="Heading 4 Char"/>
    <w:basedOn w:val="922"/>
    <w:link w:val="921"/>
    <w:uiPriority w:val="9"/>
    <w:rPr>
      <w:rFonts w:ascii="Arial" w:hAnsi="Arial" w:eastAsia="Arial" w:cs="Arial"/>
      <w:b/>
      <w:bCs/>
      <w:sz w:val="26"/>
      <w:szCs w:val="26"/>
    </w:rPr>
  </w:style>
  <w:style w:type="paragraph" w:styleId="753">
    <w:name w:val="Heading 5"/>
    <w:basedOn w:val="920"/>
    <w:next w:val="920"/>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922"/>
    <w:link w:val="753"/>
    <w:uiPriority w:val="9"/>
    <w:rPr>
      <w:rFonts w:ascii="Arial" w:hAnsi="Arial" w:eastAsia="Arial" w:cs="Arial"/>
      <w:b/>
      <w:bCs/>
      <w:sz w:val="24"/>
      <w:szCs w:val="24"/>
    </w:rPr>
  </w:style>
  <w:style w:type="paragraph" w:styleId="755">
    <w:name w:val="Heading 6"/>
    <w:basedOn w:val="920"/>
    <w:next w:val="920"/>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922"/>
    <w:link w:val="755"/>
    <w:uiPriority w:val="9"/>
    <w:rPr>
      <w:rFonts w:ascii="Arial" w:hAnsi="Arial" w:eastAsia="Arial" w:cs="Arial"/>
      <w:b/>
      <w:bCs/>
      <w:sz w:val="22"/>
      <w:szCs w:val="22"/>
    </w:rPr>
  </w:style>
  <w:style w:type="paragraph" w:styleId="757">
    <w:name w:val="Heading 7"/>
    <w:basedOn w:val="920"/>
    <w:next w:val="920"/>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22"/>
    <w:link w:val="757"/>
    <w:uiPriority w:val="9"/>
    <w:rPr>
      <w:rFonts w:ascii="Arial" w:hAnsi="Arial" w:eastAsia="Arial" w:cs="Arial"/>
      <w:b/>
      <w:bCs/>
      <w:i/>
      <w:iCs/>
      <w:sz w:val="22"/>
      <w:szCs w:val="22"/>
    </w:rPr>
  </w:style>
  <w:style w:type="paragraph" w:styleId="759">
    <w:name w:val="Heading 8"/>
    <w:basedOn w:val="920"/>
    <w:next w:val="920"/>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22"/>
    <w:link w:val="759"/>
    <w:uiPriority w:val="9"/>
    <w:rPr>
      <w:rFonts w:ascii="Arial" w:hAnsi="Arial" w:eastAsia="Arial" w:cs="Arial"/>
      <w:i/>
      <w:iCs/>
      <w:sz w:val="22"/>
      <w:szCs w:val="22"/>
    </w:rPr>
  </w:style>
  <w:style w:type="paragraph" w:styleId="761">
    <w:name w:val="Heading 9"/>
    <w:basedOn w:val="920"/>
    <w:next w:val="920"/>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22"/>
    <w:link w:val="761"/>
    <w:uiPriority w:val="9"/>
    <w:rPr>
      <w:rFonts w:ascii="Arial" w:hAnsi="Arial" w:eastAsia="Arial" w:cs="Arial"/>
      <w:i/>
      <w:iCs/>
      <w:sz w:val="21"/>
      <w:szCs w:val="21"/>
    </w:rPr>
  </w:style>
  <w:style w:type="paragraph" w:styleId="763">
    <w:name w:val="List Paragraph"/>
    <w:basedOn w:val="920"/>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0"/>
    <w:next w:val="920"/>
    <w:link w:val="766"/>
    <w:uiPriority w:val="10"/>
    <w:qFormat/>
    <w:pPr>
      <w:contextualSpacing/>
      <w:spacing w:before="300" w:after="200"/>
    </w:pPr>
    <w:rPr>
      <w:sz w:val="48"/>
      <w:szCs w:val="48"/>
    </w:rPr>
  </w:style>
  <w:style w:type="character" w:styleId="766">
    <w:name w:val="Title Char"/>
    <w:basedOn w:val="922"/>
    <w:link w:val="765"/>
    <w:uiPriority w:val="10"/>
    <w:rPr>
      <w:sz w:val="48"/>
      <w:szCs w:val="48"/>
    </w:rPr>
  </w:style>
  <w:style w:type="paragraph" w:styleId="767">
    <w:name w:val="Subtitle"/>
    <w:basedOn w:val="920"/>
    <w:next w:val="920"/>
    <w:link w:val="768"/>
    <w:uiPriority w:val="11"/>
    <w:qFormat/>
    <w:pPr>
      <w:spacing w:before="200" w:after="200"/>
    </w:pPr>
    <w:rPr>
      <w:sz w:val="24"/>
      <w:szCs w:val="24"/>
    </w:rPr>
  </w:style>
  <w:style w:type="character" w:styleId="768">
    <w:name w:val="Subtitle Char"/>
    <w:basedOn w:val="922"/>
    <w:link w:val="767"/>
    <w:uiPriority w:val="11"/>
    <w:rPr>
      <w:sz w:val="24"/>
      <w:szCs w:val="24"/>
    </w:rPr>
  </w:style>
  <w:style w:type="paragraph" w:styleId="769">
    <w:name w:val="Quote"/>
    <w:basedOn w:val="920"/>
    <w:next w:val="920"/>
    <w:link w:val="770"/>
    <w:uiPriority w:val="29"/>
    <w:qFormat/>
    <w:pPr>
      <w:ind w:left="720" w:right="720"/>
    </w:pPr>
    <w:rPr>
      <w:i/>
    </w:rPr>
  </w:style>
  <w:style w:type="character" w:styleId="770">
    <w:name w:val="Quote Char"/>
    <w:link w:val="769"/>
    <w:uiPriority w:val="29"/>
    <w:rPr>
      <w:i/>
    </w:rPr>
  </w:style>
  <w:style w:type="paragraph" w:styleId="771">
    <w:name w:val="Intense Quote"/>
    <w:basedOn w:val="920"/>
    <w:next w:val="920"/>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2"/>
    <w:link w:val="931"/>
    <w:uiPriority w:val="99"/>
  </w:style>
  <w:style w:type="character" w:styleId="774">
    <w:name w:val="Footer Char"/>
    <w:basedOn w:val="922"/>
    <w:link w:val="930"/>
    <w:uiPriority w:val="99"/>
  </w:style>
  <w:style w:type="paragraph" w:styleId="775">
    <w:name w:val="Caption"/>
    <w:basedOn w:val="920"/>
    <w:next w:val="920"/>
    <w:uiPriority w:val="35"/>
    <w:semiHidden/>
    <w:unhideWhenUsed/>
    <w:qFormat/>
    <w:pPr>
      <w:spacing w:line="276" w:lineRule="auto"/>
    </w:pPr>
    <w:rPr>
      <w:b/>
      <w:bCs/>
      <w:color w:val="4f81bd" w:themeColor="accent1"/>
      <w:sz w:val="18"/>
      <w:szCs w:val="18"/>
    </w:rPr>
  </w:style>
  <w:style w:type="character" w:styleId="776">
    <w:name w:val="Caption Char"/>
    <w:basedOn w:val="775"/>
    <w:link w:val="930"/>
    <w:uiPriority w:val="99"/>
  </w:style>
  <w:style w:type="table" w:styleId="777">
    <w:name w:val="Table Grid"/>
    <w:basedOn w:val="92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4">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5">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6">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7">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8">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9">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9">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0">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1">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2">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3">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4">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6">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7">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8">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9">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0">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1">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0">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1">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2">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3">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4">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5">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7">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8">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9">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0">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1">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2">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4">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5">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6">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7">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8">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9">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1">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2">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3">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4">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5">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6">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2"/>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2"/>
    <w:uiPriority w:val="99"/>
    <w:semiHidden/>
    <w:unhideWhenUsed/>
    <w:rPr>
      <w:vertAlign w:val="superscript"/>
    </w:rPr>
  </w:style>
  <w:style w:type="paragraph" w:styleId="910">
    <w:name w:val="toc 1"/>
    <w:basedOn w:val="920"/>
    <w:next w:val="920"/>
    <w:uiPriority w:val="39"/>
    <w:unhideWhenUsed/>
    <w:pPr>
      <w:ind w:left="0" w:right="0" w:firstLine="0"/>
      <w:spacing w:after="57"/>
    </w:pPr>
  </w:style>
  <w:style w:type="paragraph" w:styleId="911">
    <w:name w:val="toc 2"/>
    <w:basedOn w:val="920"/>
    <w:next w:val="920"/>
    <w:uiPriority w:val="39"/>
    <w:unhideWhenUsed/>
    <w:pPr>
      <w:ind w:left="283" w:right="0" w:firstLine="0"/>
      <w:spacing w:after="57"/>
    </w:pPr>
  </w:style>
  <w:style w:type="paragraph" w:styleId="912">
    <w:name w:val="toc 3"/>
    <w:basedOn w:val="920"/>
    <w:next w:val="920"/>
    <w:uiPriority w:val="39"/>
    <w:unhideWhenUsed/>
    <w:pPr>
      <w:ind w:left="567" w:right="0" w:firstLine="0"/>
      <w:spacing w:after="57"/>
    </w:pPr>
  </w:style>
  <w:style w:type="paragraph" w:styleId="913">
    <w:name w:val="toc 4"/>
    <w:basedOn w:val="920"/>
    <w:next w:val="920"/>
    <w:uiPriority w:val="39"/>
    <w:unhideWhenUsed/>
    <w:pPr>
      <w:ind w:left="850"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6"/>
    <w:basedOn w:val="920"/>
    <w:next w:val="920"/>
    <w:uiPriority w:val="39"/>
    <w:unhideWhenUsed/>
    <w:pPr>
      <w:ind w:left="1417"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1"/>
    <w:uiPriority w:val="0"/>
    <w:qFormat/>
    <w:pPr>
      <w:jc w:val="both"/>
      <w:widowControl w:val="off"/>
    </w:pPr>
    <w:rPr>
      <w:rFonts w:ascii="等线" w:hAnsi="等线" w:eastAsia="宋体" w:cs="Arial"/>
      <w:sz w:val="21"/>
      <w:szCs w:val="22"/>
      <w:lang w:val="en-US" w:eastAsia="zh-CN" w:bidi="ar-SA"/>
    </w:rPr>
  </w:style>
  <w:style w:type="paragraph" w:styleId="921">
    <w:name w:val="Heading 4"/>
    <w:basedOn w:val="920"/>
    <w:next w:val="920"/>
    <w:uiPriority w:val="0"/>
    <w:qFormat/>
    <w:pPr>
      <w:keepLines/>
      <w:keepNext/>
      <w:spacing w:before="280" w:after="290" w:line="376" w:lineRule="auto"/>
      <w:outlineLvl w:val="3"/>
    </w:pPr>
    <w:rPr>
      <w:rFonts w:ascii="等线 Light" w:hAnsi="等线 Light" w:eastAsia="黑体"/>
      <w:b/>
      <w:bCs/>
      <w:sz w:val="28"/>
      <w:szCs w:val="28"/>
    </w:rPr>
  </w:style>
  <w:style w:type="character" w:styleId="922" w:default="1">
    <w:name w:val="Default Paragraph Font"/>
    <w:uiPriority w:val="0"/>
    <w:semiHidden/>
    <w:qFormat/>
  </w:style>
  <w:style w:type="table" w:styleId="923" w:default="1">
    <w:name w:val="Normal Table"/>
    <w:uiPriority w:val="0"/>
    <w:semiHidden/>
    <w:qFormat/>
    <w:tblPr>
      <w:tblCellMar>
        <w:left w:w="108" w:type="dxa"/>
        <w:top w:w="0" w:type="dxa"/>
        <w:right w:w="108" w:type="dxa"/>
        <w:bottom w:w="0" w:type="dxa"/>
      </w:tblCellMar>
    </w:tblPr>
  </w:style>
  <w:style w:type="paragraph" w:styleId="924">
    <w:name w:val="toc 7"/>
    <w:basedOn w:val="920"/>
    <w:next w:val="920"/>
    <w:uiPriority w:val="39"/>
    <w:qFormat/>
    <w:pPr>
      <w:ind w:left="2520" w:firstLine="200"/>
      <w:jc w:val="left"/>
    </w:pPr>
    <w:rPr>
      <w:rFonts w:ascii="Calibri" w:hAnsi="Calibri" w:eastAsia="仿宋" w:cs="Times New Roman"/>
      <w:sz w:val="28"/>
    </w:rPr>
  </w:style>
  <w:style w:type="paragraph" w:styleId="925">
    <w:name w:val="Normal Indent"/>
    <w:basedOn w:val="920"/>
    <w:uiPriority w:val="0"/>
    <w:qFormat/>
    <w:pPr>
      <w:ind w:firstLine="420"/>
      <w:jc w:val="left"/>
    </w:pPr>
    <w:rPr>
      <w:rFonts w:ascii="Times New Roman" w:hAnsi="Times New Roman"/>
      <w:sz w:val="28"/>
      <w:szCs w:val="24"/>
    </w:rPr>
  </w:style>
  <w:style w:type="paragraph" w:styleId="926">
    <w:name w:val="Body Text"/>
    <w:basedOn w:val="920"/>
    <w:next w:val="927"/>
    <w:uiPriority w:val="0"/>
    <w:qFormat/>
    <w:pPr>
      <w:spacing w:after="120"/>
    </w:pPr>
    <w:rPr>
      <w:sz w:val="20"/>
      <w:szCs w:val="20"/>
    </w:rPr>
  </w:style>
  <w:style w:type="paragraph" w:styleId="927">
    <w:name w:val="Body Text 2"/>
    <w:basedOn w:val="920"/>
    <w:uiPriority w:val="99"/>
    <w:qFormat/>
    <w:rPr>
      <w:rFonts w:eastAsia="仿宋_GB2312"/>
      <w:color w:val="000000"/>
    </w:rPr>
  </w:style>
  <w:style w:type="paragraph" w:styleId="928">
    <w:name w:val="index 4"/>
    <w:basedOn w:val="920"/>
    <w:next w:val="920"/>
    <w:uiPriority w:val="0"/>
    <w:semiHidden/>
    <w:qFormat/>
    <w:pPr>
      <w:ind w:left="1260"/>
    </w:pPr>
  </w:style>
  <w:style w:type="paragraph" w:styleId="929">
    <w:name w:val="Plain Text"/>
    <w:basedOn w:val="920"/>
    <w:next w:val="925"/>
    <w:uiPriority w:val="0"/>
    <w:qFormat/>
    <w:pPr>
      <w:ind w:firstLine="200"/>
      <w:jc w:val="left"/>
      <w:spacing w:after="200" w:line="360" w:lineRule="auto"/>
      <w:widowControl/>
    </w:pPr>
    <w:rPr>
      <w:rFonts w:ascii="宋体" w:hAnsi="Courier New" w:eastAsia="仿宋"/>
      <w:sz w:val="24"/>
      <w:szCs w:val="20"/>
      <w:lang w:eastAsia="en-US"/>
    </w:rPr>
  </w:style>
  <w:style w:type="paragraph" w:styleId="930">
    <w:name w:val="Footer"/>
    <w:basedOn w:val="920"/>
    <w:uiPriority w:val="99"/>
    <w:qFormat/>
    <w:pPr>
      <w:jc w:val="left"/>
      <w:tabs>
        <w:tab w:val="center" w:pos="4153" w:leader="none"/>
        <w:tab w:val="right" w:pos="8306" w:leader="none"/>
      </w:tabs>
    </w:pPr>
    <w:rPr>
      <w:sz w:val="18"/>
      <w:szCs w:val="18"/>
    </w:rPr>
  </w:style>
  <w:style w:type="paragraph" w:styleId="931">
    <w:name w:val="Header"/>
    <w:basedOn w:val="920"/>
    <w:uiPriority w:val="0"/>
    <w:qFormat/>
    <w:pPr>
      <w:jc w:val="center"/>
      <w:tabs>
        <w:tab w:val="center" w:pos="4153" w:leader="none"/>
        <w:tab w:val="right" w:pos="8306" w:leader="none"/>
      </w:tabs>
      <w:pBdr>
        <w:bottom w:val="single" w:color="auto" w:sz="6" w:space="1"/>
      </w:pBdr>
    </w:pPr>
    <w:rPr>
      <w:sz w:val="18"/>
      <w:szCs w:val="18"/>
    </w:rPr>
  </w:style>
  <w:style w:type="paragraph" w:styleId="932">
    <w:name w:val="Body Text Indent 3"/>
    <w:basedOn w:val="920"/>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933">
    <w:name w:val="Normal (Web)"/>
    <w:basedOn w:val="920"/>
    <w:uiPriority w:val="99"/>
    <w:qFormat/>
    <w:pPr>
      <w:jc w:val="left"/>
      <w:spacing w:before="100" w:beforeAutospacing="1" w:after="100" w:afterAutospacing="1"/>
      <w:widowControl/>
    </w:pPr>
    <w:rPr>
      <w:rFonts w:ascii="宋体" w:hAnsi="宋体" w:cs="宋体"/>
      <w:sz w:val="24"/>
      <w:szCs w:val="24"/>
    </w:rPr>
  </w:style>
  <w:style w:type="paragraph" w:styleId="934">
    <w:name w:val="Body Text First Indent"/>
    <w:basedOn w:val="926"/>
    <w:uiPriority w:val="0"/>
    <w:qFormat/>
    <w:pPr>
      <w:ind w:firstLine="420"/>
    </w:pPr>
    <w:rPr>
      <w:rFonts w:ascii="Verdana" w:hAnsi="Verdana"/>
      <w:szCs w:val="28"/>
      <w:lang w:eastAsia="en-US"/>
    </w:rPr>
  </w:style>
  <w:style w:type="paragraph" w:styleId="935" w:customStyle="1">
    <w:name w:val="段"/>
    <w:next w:val="920"/>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paragraph" w:styleId="936" w:customStyle="1">
    <w:name w:val="WPSOffice手动目录 1"/>
    <w:uiPriority w:val="0"/>
    <w:qFormat/>
    <w:rPr>
      <w:rFonts w:ascii="Times New Roman" w:hAnsi="Times New Roman" w:eastAsia="宋体" w:cs="Times New Roman"/>
      <w:lang w:val="en-US" w:eastAsia="zh-CN" w:bidi="ar-SA"/>
    </w:rPr>
  </w:style>
  <w:style w:type="paragraph" w:styleId="937" w:customStyle="1">
    <w:name w:val="列出段落1"/>
    <w:basedOn w:val="920"/>
    <w:uiPriority w:val="0"/>
    <w:qFormat/>
    <w:pPr>
      <w:ind w:firstLine="420"/>
    </w:pPr>
    <w:rPr>
      <w:rFonts w:ascii="Calibri" w:hAnsi="Calibri" w:cs="Times New Roman"/>
      <w:sz w:val="20"/>
      <w:szCs w:val="20"/>
    </w:rPr>
  </w:style>
  <w:style w:type="paragraph" w:styleId="938" w:customStyle="1">
    <w:name w:val="正文文本缩进1"/>
    <w:basedOn w:val="920"/>
    <w:uiPriority w:val="0"/>
    <w:qFormat/>
    <w:pPr>
      <w:ind w:left="420" w:firstLine="420"/>
      <w:spacing w:line="240" w:lineRule="atLeast"/>
    </w:pPr>
    <w:rPr>
      <w:rFonts w:ascii="Times New Roman" w:hAnsi="Times New Roman" w:eastAsia="楷体_GB2312" w:cs="Times New Roman"/>
      <w:sz w:val="24"/>
      <w:szCs w:val="24"/>
    </w:rPr>
  </w:style>
  <w:style w:type="paragraph" w:styleId="939" w:customStyle="1">
    <w:name w:val="Comment Subject"/>
    <w:basedOn w:val="940"/>
    <w:next w:val="941"/>
    <w:uiPriority w:val="0"/>
    <w:qFormat/>
    <w:rPr>
      <w:b/>
      <w:bCs/>
    </w:rPr>
  </w:style>
  <w:style w:type="paragraph" w:styleId="940" w:customStyle="1">
    <w:name w:val="Comment Text"/>
    <w:basedOn w:val="920"/>
    <w:uiPriority w:val="0"/>
    <w:qFormat/>
    <w:pPr>
      <w:ind w:firstLine="200"/>
      <w:jc w:val="left"/>
    </w:pPr>
    <w:rPr>
      <w:rFonts w:ascii="Times New Roman" w:hAnsi="Times New Roman" w:eastAsia="仿宋"/>
      <w:sz w:val="28"/>
      <w:szCs w:val="24"/>
    </w:rPr>
  </w:style>
  <w:style w:type="paragraph" w:styleId="941" w:customStyle="1">
    <w:name w:val="Plain Text1"/>
    <w:basedOn w:val="920"/>
    <w:next w:val="924"/>
    <w:uiPriority w:val="0"/>
    <w:qFormat/>
    <w:pPr>
      <w:ind w:firstLine="3584"/>
      <w:spacing w:line="360" w:lineRule="auto"/>
    </w:pPr>
  </w:style>
  <w:style w:type="paragraph" w:styleId="942" w:customStyle="1">
    <w:name w:val="纯文本1111"/>
    <w:basedOn w:val="920"/>
    <w:next w:val="943"/>
    <w:uiPriority w:val="0"/>
    <w:unhideWhenUsed/>
    <w:qFormat/>
    <w:rPr>
      <w:rFonts w:ascii="宋体" w:hAnsi="Courier New"/>
    </w:rPr>
  </w:style>
  <w:style w:type="paragraph" w:styleId="943" w:customStyle="1">
    <w:name w:val="正文缩进1"/>
    <w:basedOn w:val="920"/>
    <w:uiPriority w:val="0"/>
    <w:qFormat/>
    <w:pPr>
      <w:ind w:firstLine="420"/>
    </w:pPr>
    <w:rPr>
      <w:rFonts w:ascii="Calibri" w:hAnsi="Calibri" w:cs="Times New Roman"/>
      <w:sz w:val="20"/>
      <w:szCs w:val="20"/>
    </w:rPr>
  </w:style>
  <w:style w:type="paragraph" w:styleId="944" w:customStyle="1">
    <w:name w:val="msonormal"/>
    <w:basedOn w:val="920"/>
    <w:uiPriority w:val="0"/>
    <w:qFormat/>
    <w:pPr>
      <w:jc w:val="left"/>
      <w:spacing w:before="100" w:beforeAutospacing="1" w:after="100" w:afterAutospacing="1"/>
      <w:widowControl/>
    </w:pPr>
    <w:rPr>
      <w:rFonts w:ascii="宋体" w:hAnsi="宋体" w:cs="宋体"/>
      <w:sz w:val="24"/>
      <w:szCs w:val="24"/>
    </w:rPr>
  </w:style>
  <w:style w:type="paragraph" w:styleId="945" w:customStyle="1">
    <w:name w:val="普通(网站)1"/>
    <w:basedOn w:val="920"/>
    <w:uiPriority w:val="0"/>
    <w:qFormat/>
    <w:pPr>
      <w:jc w:val="left"/>
      <w:spacing w:before="100" w:beforeAutospacing="1" w:after="100" w:afterAutospacing="1"/>
      <w:widowControl/>
    </w:pPr>
    <w:rPr>
      <w:rFonts w:ascii="宋体" w:hAnsi="宋体" w:cs="宋体"/>
      <w:sz w:val="24"/>
      <w:szCs w:val="24"/>
    </w:rPr>
  </w:style>
  <w:style w:type="paragraph" w:styleId="946" w:customStyle="1">
    <w:name w:val="DAS正文"/>
    <w:basedOn w:val="920"/>
    <w:uiPriority w:val="0"/>
    <w:qFormat/>
    <w:pPr>
      <w:ind w:right="181" w:firstLine="480"/>
      <w:spacing w:line="360" w:lineRule="auto"/>
    </w:pPr>
    <w:rPr>
      <w:rFonts w:ascii="Verdana" w:hAnsi="Verdana" w:cs="Times New Roman"/>
      <w:szCs w:val="24"/>
    </w:rPr>
  </w:style>
  <w:style w:type="character" w:styleId="947" w:customStyle="1">
    <w:name w:val="font51"/>
    <w:basedOn w:val="922"/>
    <w:uiPriority w:val="0"/>
    <w:qFormat/>
    <w:rPr>
      <w:rFonts w:hint="eastAsia" w:ascii="宋体" w:hAnsi="宋体" w:eastAsia="宋体" w:cs="宋体"/>
      <w:color w:val="000000"/>
      <w:sz w:val="18"/>
      <w:szCs w:val="18"/>
      <w:u w:val="none"/>
    </w:rPr>
  </w:style>
  <w:style w:type="character" w:styleId="948" w:customStyle="1">
    <w:name w:val="font41"/>
    <w:basedOn w:val="922"/>
    <w:uiPriority w:val="0"/>
    <w:qFormat/>
    <w:rPr>
      <w:rFonts w:hint="eastAsia" w:ascii="宋体" w:hAnsi="宋体" w:eastAsia="宋体" w:cs="宋体"/>
      <w:color w:val="000000"/>
      <w:sz w:val="18"/>
      <w:szCs w:val="18"/>
      <w:u w:val="none"/>
    </w:rPr>
  </w:style>
  <w:style w:type="character" w:styleId="949" w:customStyle="1">
    <w:name w:val="font21"/>
    <w:basedOn w:val="922"/>
    <w:uiPriority w:val="0"/>
    <w:qFormat/>
    <w:rPr>
      <w:rFonts w:hint="eastAsia" w:ascii="微软雅黑" w:hAnsi="微软雅黑" w:eastAsia="微软雅黑" w:cs="微软雅黑"/>
      <w:color w:val="000000"/>
      <w:sz w:val="20"/>
      <w:szCs w:val="20"/>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周纯</cp:lastModifiedBy>
  <cp:revision>3</cp:revision>
  <dcterms:created xsi:type="dcterms:W3CDTF">2014-10-29T12:08:00Z</dcterms:created>
  <dcterms:modified xsi:type="dcterms:W3CDTF">2025-12-15T02:14:03Z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693FCA1BE147412EA24D6A497D144598_12</vt:lpwstr>
  </property>
  <property fmtid="{D5CDD505-2E9C-101B-9397-08002B2CF9AE}" pid="4" name="KSOTemplateDocerSaveRecord">
    <vt:lpwstr>eyJoZGlkIjoiY2I1ZWQyMDIzMmI2OGYyYzI2YTM3OTg4YjAxOTQ1MWIiLCJ1c2VySWQiOiIzMTU1ODEyOTcifQ==</vt:lpwstr>
  </property>
</Properties>
</file>